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6E51AEBB"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Thread 1</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412EDEB2" w14:textId="02EC4993" w:rsidR="009576C2" w:rsidRDefault="002704B5" w:rsidP="00D04EC5">
      <w:pPr>
        <w:pStyle w:val="Heading1"/>
        <w:jc w:val="both"/>
      </w:pPr>
      <w:r>
        <w:t>Thread 1</w:t>
      </w:r>
    </w:p>
    <w:p w14:paraId="24E978DD"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2BCE7A52" w14:textId="77777777" w:rsidR="00BC1524" w:rsidRPr="001F2F4D" w:rsidRDefault="00BC1524" w:rsidP="00BC1524">
      <w:pPr>
        <w:numPr>
          <w:ilvl w:val="0"/>
          <w:numId w:val="37"/>
        </w:numPr>
        <w:spacing w:after="0" w:line="240" w:lineRule="auto"/>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2B3772EF" w14:textId="77777777" w:rsidR="00BC1524" w:rsidRPr="001F2F4D" w:rsidRDefault="00BC1524" w:rsidP="00BC1524">
      <w:pPr>
        <w:numPr>
          <w:ilvl w:val="0"/>
          <w:numId w:val="37"/>
        </w:numPr>
        <w:spacing w:after="0" w:line="240" w:lineRule="auto"/>
        <w:rPr>
          <w:rFonts w:ascii="Calibri" w:hAnsi="Calibri"/>
          <w:szCs w:val="20"/>
          <w:highlight w:val="cyan"/>
        </w:rPr>
      </w:pPr>
      <w:r w:rsidRPr="001F2F4D">
        <w:rPr>
          <w:rFonts w:ascii="Calibri" w:hAnsi="Calibri"/>
          <w:szCs w:val="20"/>
          <w:highlight w:val="cyan"/>
        </w:rPr>
        <w:t>Configured grant</w:t>
      </w:r>
    </w:p>
    <w:p w14:paraId="0940F7D2" w14:textId="77777777" w:rsidR="00BC1524" w:rsidRPr="001F2F4D" w:rsidRDefault="00BC1524" w:rsidP="00BC1524">
      <w:pPr>
        <w:numPr>
          <w:ilvl w:val="1"/>
          <w:numId w:val="37"/>
        </w:numPr>
        <w:spacing w:after="0" w:line="240" w:lineRule="auto"/>
        <w:rPr>
          <w:rFonts w:ascii="Calibri" w:hAnsi="Calibri"/>
          <w:szCs w:val="20"/>
          <w:highlight w:val="cyan"/>
        </w:rPr>
      </w:pPr>
      <w:r w:rsidRPr="001F2F4D">
        <w:rPr>
          <w:rFonts w:ascii="Calibri" w:hAnsi="Calibri"/>
          <w:szCs w:val="20"/>
          <w:highlight w:val="cyan"/>
        </w:rPr>
        <w:t>Whether to use physical or logical slots.</w:t>
      </w:r>
    </w:p>
    <w:p w14:paraId="1C6FE139" w14:textId="77777777" w:rsidR="00BC1524" w:rsidRPr="001F2F4D" w:rsidRDefault="00BC1524" w:rsidP="00BC1524">
      <w:pPr>
        <w:numPr>
          <w:ilvl w:val="1"/>
          <w:numId w:val="37"/>
        </w:numPr>
        <w:spacing w:after="0" w:line="240" w:lineRule="auto"/>
        <w:rPr>
          <w:rFonts w:ascii="Calibri" w:hAnsi="Calibri"/>
          <w:szCs w:val="20"/>
          <w:highlight w:val="cyan"/>
        </w:rPr>
      </w:pPr>
      <w:r w:rsidRPr="001F2F4D">
        <w:rPr>
          <w:rFonts w:ascii="Calibri" w:hAnsi="Calibri"/>
          <w:szCs w:val="20"/>
          <w:highlight w:val="cyan"/>
        </w:rPr>
        <w:t>Type-1: remaining details of frame indexing</w:t>
      </w:r>
    </w:p>
    <w:p w14:paraId="0B200873" w14:textId="77777777" w:rsidR="00BC1524" w:rsidRPr="001F2F4D" w:rsidRDefault="00BC1524" w:rsidP="00BC1524">
      <w:pPr>
        <w:numPr>
          <w:ilvl w:val="1"/>
          <w:numId w:val="37"/>
        </w:numPr>
        <w:spacing w:after="0" w:line="240" w:lineRule="auto"/>
        <w:rPr>
          <w:rFonts w:ascii="Calibri" w:hAnsi="Calibri"/>
          <w:szCs w:val="20"/>
          <w:highlight w:val="cyan"/>
        </w:rPr>
      </w:pPr>
      <w:r w:rsidRPr="001F2F4D">
        <w:rPr>
          <w:rFonts w:ascii="Calibri" w:hAnsi="Calibri"/>
          <w:szCs w:val="20"/>
          <w:highlight w:val="cyan"/>
        </w:rPr>
        <w:t>Remaining details on HARQ process ID determination</w:t>
      </w:r>
    </w:p>
    <w:p w14:paraId="66F0D4DA" w14:textId="77777777" w:rsidR="00BC1524" w:rsidRPr="001F2F4D" w:rsidRDefault="00BC1524" w:rsidP="00BC1524">
      <w:pPr>
        <w:numPr>
          <w:ilvl w:val="0"/>
          <w:numId w:val="37"/>
        </w:numPr>
        <w:spacing w:after="0" w:line="240" w:lineRule="auto"/>
        <w:rPr>
          <w:rFonts w:ascii="Calibri" w:hAnsi="Calibri"/>
          <w:szCs w:val="20"/>
          <w:highlight w:val="cyan"/>
        </w:rPr>
      </w:pPr>
      <w:r w:rsidRPr="001F2F4D">
        <w:rPr>
          <w:rFonts w:ascii="Calibri" w:hAnsi="Calibri"/>
          <w:szCs w:val="20"/>
          <w:highlight w:val="cyan"/>
        </w:rPr>
        <w:t>Processing times</w:t>
      </w:r>
    </w:p>
    <w:p w14:paraId="4022AE6D" w14:textId="77777777" w:rsidR="00BC1524" w:rsidRPr="001F2F4D" w:rsidRDefault="00BC1524" w:rsidP="00BC1524">
      <w:pPr>
        <w:numPr>
          <w:ilvl w:val="1"/>
          <w:numId w:val="37"/>
        </w:numPr>
        <w:spacing w:after="0" w:line="240" w:lineRule="auto"/>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0D8A4F69" w14:textId="77777777" w:rsidR="00BC1524" w:rsidRPr="001F2F4D" w:rsidRDefault="00BC1524" w:rsidP="00BC1524">
      <w:pPr>
        <w:numPr>
          <w:ilvl w:val="1"/>
          <w:numId w:val="37"/>
        </w:numPr>
        <w:spacing w:after="0" w:line="240" w:lineRule="auto"/>
        <w:rPr>
          <w:rFonts w:ascii="Calibri" w:hAnsi="Calibri"/>
          <w:szCs w:val="20"/>
          <w:highlight w:val="cyan"/>
        </w:rPr>
      </w:pPr>
      <w:r w:rsidRPr="001F2F4D">
        <w:rPr>
          <w:rFonts w:ascii="Calibri" w:hAnsi="Calibri"/>
          <w:szCs w:val="20"/>
          <w:highlight w:val="cyan"/>
        </w:rPr>
        <w:t xml:space="preserve">With lower priority, values for </w:t>
      </w:r>
    </w:p>
    <w:p w14:paraId="0E153162" w14:textId="77777777" w:rsidR="00BC1524" w:rsidRPr="001F2F4D" w:rsidRDefault="00BC1524" w:rsidP="00BC1524">
      <w:pPr>
        <w:numPr>
          <w:ilvl w:val="2"/>
          <w:numId w:val="37"/>
        </w:numPr>
        <w:spacing w:after="0" w:line="240" w:lineRule="auto"/>
        <w:rPr>
          <w:rFonts w:ascii="Calibri" w:hAnsi="Calibri"/>
          <w:szCs w:val="20"/>
          <w:highlight w:val="cyan"/>
        </w:rPr>
      </w:pPr>
      <w:r w:rsidRPr="001F2F4D">
        <w:rPr>
          <w:rFonts w:ascii="Calibri" w:hAnsi="Calibri"/>
          <w:szCs w:val="20"/>
          <w:highlight w:val="cyan"/>
        </w:rPr>
        <w:t>PSCCH/PSSCH preparation time.</w:t>
      </w:r>
    </w:p>
    <w:p w14:paraId="5E1445F4" w14:textId="77777777" w:rsidR="00BC1524" w:rsidRPr="001F2F4D" w:rsidRDefault="00BC1524" w:rsidP="00BC1524">
      <w:pPr>
        <w:numPr>
          <w:ilvl w:val="2"/>
          <w:numId w:val="37"/>
        </w:numPr>
        <w:spacing w:after="0" w:line="240" w:lineRule="auto"/>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4ACC9B2D" w14:textId="77777777" w:rsidR="00BC1524" w:rsidRPr="001F2F4D" w:rsidRDefault="00BC1524" w:rsidP="00BC1524">
      <w:pPr>
        <w:numPr>
          <w:ilvl w:val="0"/>
          <w:numId w:val="37"/>
        </w:numPr>
        <w:spacing w:after="0" w:line="240" w:lineRule="auto"/>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2669D8A7" w14:textId="77777777" w:rsidR="00BC1524" w:rsidRPr="001F2F4D" w:rsidRDefault="00BC1524" w:rsidP="00BC1524">
      <w:pPr>
        <w:rPr>
          <w:szCs w:val="20"/>
        </w:rPr>
      </w:pPr>
      <w:r w:rsidRPr="001F2F4D">
        <w:rPr>
          <w:szCs w:val="20"/>
          <w:highlight w:val="cyan"/>
        </w:rPr>
        <w:t>By 6/1, with potential TPs by 6/4 – Ricardo (Ericsson)</w:t>
      </w:r>
    </w:p>
    <w:p w14:paraId="1DE2454F" w14:textId="4C278BB0" w:rsidR="00D04EC5" w:rsidRDefault="00D04EC5" w:rsidP="00D04EC5">
      <w:pPr>
        <w:rPr>
          <w:lang w:val="en-GB" w:eastAsia="ja-JP"/>
        </w:rPr>
      </w:pPr>
    </w:p>
    <w:p w14:paraId="5C3C72E3" w14:textId="665AFA9F" w:rsidR="00E6762F" w:rsidRDefault="00D04EC5" w:rsidP="00E6762F">
      <w:pPr>
        <w:pStyle w:val="Heading2"/>
      </w:pPr>
      <w:r w:rsidRPr="00701AD5">
        <w:t>Q1.</w:t>
      </w:r>
      <w:r w:rsidR="00CE46B8">
        <w:tab/>
      </w:r>
      <w:r w:rsidR="00E6762F" w:rsidRPr="00E6762F">
        <w:t>Dynamic grant: number of PUCCH resources per grant.</w:t>
      </w:r>
    </w:p>
    <w:p w14:paraId="13602319" w14:textId="6C10D15B" w:rsidR="00D04EC5" w:rsidRPr="00701AD5" w:rsidRDefault="00D04EC5" w:rsidP="00B850CE">
      <w:pPr>
        <w:jc w:val="both"/>
        <w:rPr>
          <w:b/>
          <w:bCs/>
          <w:lang w:val="en-GB" w:eastAsia="ja-JP"/>
        </w:rPr>
      </w:pPr>
      <w:r w:rsidRPr="00701AD5">
        <w:rPr>
          <w:b/>
          <w:bCs/>
          <w:lang w:val="en-GB" w:eastAsia="ja-JP"/>
        </w:rPr>
        <w:t>Which of the following options is preferable:</w:t>
      </w:r>
    </w:p>
    <w:p w14:paraId="2426C6A4" w14:textId="20D916BF" w:rsidR="00D04EC5" w:rsidRPr="00701AD5" w:rsidRDefault="00D04EC5" w:rsidP="00B850CE">
      <w:pPr>
        <w:pStyle w:val="ListParagraph"/>
        <w:numPr>
          <w:ilvl w:val="0"/>
          <w:numId w:val="30"/>
        </w:numPr>
        <w:jc w:val="both"/>
        <w:rPr>
          <w:b/>
          <w:bCs/>
          <w:lang w:val="en-GB" w:eastAsia="ja-JP"/>
        </w:rPr>
      </w:pPr>
      <w:r w:rsidRPr="00701AD5">
        <w:rPr>
          <w:b/>
          <w:bCs/>
          <w:lang w:val="en-GB" w:eastAsia="ja-JP"/>
        </w:rPr>
        <w:t xml:space="preserve">Opt. 1: One single PUCCH resource per DG, after the last granted resource (as indicated by PSFCH-to-PUCCH gap). </w:t>
      </w:r>
    </w:p>
    <w:p w14:paraId="18DB741E" w14:textId="3A94EF3C" w:rsidR="00D04EC5" w:rsidRPr="00701AD5" w:rsidRDefault="00D04EC5" w:rsidP="00B850CE">
      <w:pPr>
        <w:pStyle w:val="ListParagraph"/>
        <w:numPr>
          <w:ilvl w:val="0"/>
          <w:numId w:val="30"/>
        </w:numPr>
        <w:jc w:val="both"/>
        <w:rPr>
          <w:b/>
          <w:bCs/>
          <w:lang w:val="en-GB" w:eastAsia="ja-JP"/>
        </w:rPr>
      </w:pPr>
      <w:r w:rsidRPr="00701AD5">
        <w:rPr>
          <w:b/>
          <w:bCs/>
          <w:lang w:val="en-GB" w:eastAsia="ja-JP"/>
        </w:rPr>
        <w:t xml:space="preserve">Opt. 2: One PUCCH resource after each resource granted by the DG (as indicated by PSFCH-to-PUCCH gap). </w:t>
      </w:r>
    </w:p>
    <w:tbl>
      <w:tblPr>
        <w:tblStyle w:val="TableGrid"/>
        <w:tblW w:w="9634" w:type="dxa"/>
        <w:tblLook w:val="04A0" w:firstRow="1" w:lastRow="0" w:firstColumn="1" w:lastColumn="0" w:noHBand="0" w:noVBand="1"/>
      </w:tblPr>
      <w:tblGrid>
        <w:gridCol w:w="1189"/>
        <w:gridCol w:w="8445"/>
      </w:tblGrid>
      <w:tr w:rsidR="00D04EC5" w14:paraId="62BFC4CB" w14:textId="77777777" w:rsidTr="005A3B37">
        <w:tc>
          <w:tcPr>
            <w:tcW w:w="1189" w:type="dxa"/>
            <w:shd w:val="clear" w:color="auto" w:fill="E7E6E6" w:themeFill="background2"/>
          </w:tcPr>
          <w:p w14:paraId="4EECE7AA" w14:textId="329BE4D1" w:rsidR="00D04EC5" w:rsidRPr="00D04EC5" w:rsidRDefault="00D04EC5" w:rsidP="00D04EC5">
            <w:pPr>
              <w:jc w:val="center"/>
              <w:rPr>
                <w:b/>
                <w:bCs/>
                <w:lang w:val="en-GB" w:eastAsia="ja-JP"/>
              </w:rPr>
            </w:pPr>
            <w:r w:rsidRPr="00D04EC5">
              <w:rPr>
                <w:b/>
                <w:bCs/>
                <w:lang w:val="en-GB" w:eastAsia="ja-JP"/>
              </w:rPr>
              <w:t>Company</w:t>
            </w:r>
          </w:p>
        </w:tc>
        <w:tc>
          <w:tcPr>
            <w:tcW w:w="8445" w:type="dxa"/>
            <w:shd w:val="clear" w:color="auto" w:fill="E7E6E6" w:themeFill="background2"/>
          </w:tcPr>
          <w:p w14:paraId="71805167" w14:textId="3A25116F" w:rsidR="00D04EC5" w:rsidRPr="00D04EC5" w:rsidRDefault="00D04EC5" w:rsidP="00D04EC5">
            <w:pPr>
              <w:jc w:val="center"/>
              <w:rPr>
                <w:b/>
                <w:bCs/>
                <w:lang w:val="en-GB" w:eastAsia="ja-JP"/>
              </w:rPr>
            </w:pPr>
            <w:r w:rsidRPr="00D04EC5">
              <w:rPr>
                <w:b/>
                <w:bCs/>
                <w:lang w:val="en-GB" w:eastAsia="ja-JP"/>
              </w:rPr>
              <w:t>Views</w:t>
            </w:r>
          </w:p>
        </w:tc>
      </w:tr>
      <w:tr w:rsidR="00D04EC5" w14:paraId="48D08C1E" w14:textId="77777777" w:rsidTr="005A3B37">
        <w:tc>
          <w:tcPr>
            <w:tcW w:w="1189" w:type="dxa"/>
          </w:tcPr>
          <w:p w14:paraId="71ED7AA2" w14:textId="218F4D7B" w:rsidR="00D04EC5" w:rsidRDefault="0048672B" w:rsidP="00D04EC5">
            <w:pPr>
              <w:rPr>
                <w:lang w:val="en-GB" w:eastAsia="ja-JP"/>
              </w:rPr>
            </w:pPr>
            <w:r>
              <w:rPr>
                <w:lang w:val="en-GB" w:eastAsia="ja-JP"/>
              </w:rPr>
              <w:t>Ericsson</w:t>
            </w:r>
          </w:p>
        </w:tc>
        <w:tc>
          <w:tcPr>
            <w:tcW w:w="8445" w:type="dxa"/>
          </w:tcPr>
          <w:p w14:paraId="473DACC9" w14:textId="52E1B492" w:rsidR="0048672B" w:rsidRDefault="0048672B" w:rsidP="00D04EC5">
            <w:pPr>
              <w:rPr>
                <w:lang w:val="en-GB" w:eastAsia="ja-JP"/>
              </w:rPr>
            </w:pPr>
            <w:r>
              <w:rPr>
                <w:lang w:val="en-GB" w:eastAsia="ja-JP"/>
              </w:rPr>
              <w:t>Option 1. Introducing PUCCH further restricts the scheduling possibilities, which are already limited by the fact that the 1-3 resources must be within 32 slots.</w:t>
            </w:r>
          </w:p>
          <w:p w14:paraId="3E867F5B" w14:textId="6F49D6AE" w:rsidR="00D04EC5" w:rsidRDefault="0048672B" w:rsidP="00D04EC5">
            <w:pPr>
              <w:rPr>
                <w:lang w:val="en-GB" w:eastAsia="ja-JP"/>
              </w:rPr>
            </w:pPr>
            <w:r>
              <w:rPr>
                <w:lang w:val="en-GB" w:eastAsia="ja-JP"/>
              </w:rPr>
              <w:t>The gNB can provide multiple DGs to have one PUCCH report per SL transmission.</w:t>
            </w:r>
          </w:p>
        </w:tc>
      </w:tr>
      <w:tr w:rsidR="00D04EC5" w14:paraId="6B0B558F" w14:textId="77777777" w:rsidTr="005A3B37">
        <w:tc>
          <w:tcPr>
            <w:tcW w:w="1189" w:type="dxa"/>
          </w:tcPr>
          <w:p w14:paraId="039C2E5F" w14:textId="59E46A27" w:rsidR="00D04EC5" w:rsidRDefault="00DD73D3" w:rsidP="00D04EC5">
            <w:pPr>
              <w:rPr>
                <w:lang w:val="en-GB" w:eastAsia="ja-JP"/>
              </w:rPr>
            </w:pPr>
            <w:r>
              <w:rPr>
                <w:lang w:val="en-GB" w:eastAsia="ja-JP"/>
              </w:rPr>
              <w:t>Intel</w:t>
            </w:r>
          </w:p>
        </w:tc>
        <w:tc>
          <w:tcPr>
            <w:tcW w:w="8445" w:type="dxa"/>
          </w:tcPr>
          <w:p w14:paraId="3AF3700F" w14:textId="77777777" w:rsidR="00D04EC5" w:rsidRDefault="00DD73D3" w:rsidP="00D04EC5">
            <w:r>
              <w:rPr>
                <w:lang w:val="en-GB" w:eastAsia="ja-JP"/>
              </w:rPr>
              <w:t xml:space="preserve">Option 1. </w:t>
            </w:r>
            <w:r>
              <w:t>The single PUCCH resource can be allocated based on the indicated timing value and can accumulate the HARQ-ACK state available in this time instance, i.e. can report the result of all prior retransmissions.</w:t>
            </w:r>
          </w:p>
          <w:p w14:paraId="19ABB354" w14:textId="4EFF5C02" w:rsidR="00DD73D3" w:rsidRDefault="00DD73D3" w:rsidP="00D04EC5">
            <w:pPr>
              <w:rPr>
                <w:lang w:val="en-GB" w:eastAsia="ja-JP"/>
              </w:rPr>
            </w:pPr>
            <w:r>
              <w:rPr>
                <w:lang w:val="en-GB" w:eastAsia="ja-JP"/>
              </w:rPr>
              <w:lastRenderedPageBreak/>
              <w:t xml:space="preserve">It seems to us that Option 2 is an optimization. </w:t>
            </w:r>
            <w:r>
              <w:t>gNB can simply schedule one resource and wait for the feedback to allocate more resources</w:t>
            </w:r>
            <w:r>
              <w:t>.</w:t>
            </w:r>
          </w:p>
        </w:tc>
      </w:tr>
      <w:tr w:rsidR="00D04EC5" w14:paraId="37383CCD" w14:textId="77777777" w:rsidTr="005A3B37">
        <w:tc>
          <w:tcPr>
            <w:tcW w:w="1189" w:type="dxa"/>
          </w:tcPr>
          <w:p w14:paraId="2CDE4A0F" w14:textId="77777777" w:rsidR="00D04EC5" w:rsidRDefault="00D04EC5" w:rsidP="00D04EC5">
            <w:pPr>
              <w:rPr>
                <w:lang w:val="en-GB" w:eastAsia="ja-JP"/>
              </w:rPr>
            </w:pPr>
          </w:p>
        </w:tc>
        <w:tc>
          <w:tcPr>
            <w:tcW w:w="8445" w:type="dxa"/>
          </w:tcPr>
          <w:p w14:paraId="66CBE5B5" w14:textId="77777777" w:rsidR="00D04EC5" w:rsidRDefault="00D04EC5" w:rsidP="00D04EC5">
            <w:pPr>
              <w:rPr>
                <w:lang w:val="en-GB" w:eastAsia="ja-JP"/>
              </w:rPr>
            </w:pPr>
          </w:p>
        </w:tc>
      </w:tr>
      <w:tr w:rsidR="00D04EC5" w14:paraId="2844F1D8" w14:textId="77777777" w:rsidTr="005A3B37">
        <w:tc>
          <w:tcPr>
            <w:tcW w:w="1189" w:type="dxa"/>
          </w:tcPr>
          <w:p w14:paraId="03815B78" w14:textId="77777777" w:rsidR="00D04EC5" w:rsidRDefault="00D04EC5" w:rsidP="00D04EC5">
            <w:pPr>
              <w:rPr>
                <w:lang w:val="en-GB" w:eastAsia="ja-JP"/>
              </w:rPr>
            </w:pPr>
          </w:p>
        </w:tc>
        <w:tc>
          <w:tcPr>
            <w:tcW w:w="8445" w:type="dxa"/>
          </w:tcPr>
          <w:p w14:paraId="149EB9A7" w14:textId="77777777" w:rsidR="00D04EC5" w:rsidRDefault="00D04EC5" w:rsidP="00D04EC5">
            <w:pPr>
              <w:rPr>
                <w:lang w:val="en-GB" w:eastAsia="ja-JP"/>
              </w:rPr>
            </w:pPr>
          </w:p>
        </w:tc>
      </w:tr>
    </w:tbl>
    <w:p w14:paraId="434A6A43" w14:textId="75E40FF6" w:rsidR="00D04EC5" w:rsidRDefault="00D04EC5" w:rsidP="00D04EC5">
      <w:pPr>
        <w:rPr>
          <w:lang w:val="en-GB" w:eastAsia="ja-JP"/>
        </w:rPr>
      </w:pPr>
    </w:p>
    <w:p w14:paraId="3B238F53" w14:textId="71466A71" w:rsidR="00E6762F" w:rsidRDefault="002704B5" w:rsidP="00E6762F">
      <w:pPr>
        <w:pStyle w:val="Heading2"/>
      </w:pPr>
      <w:r w:rsidRPr="00701AD5">
        <w:t>Q2.</w:t>
      </w:r>
      <w:r w:rsidR="00CE46B8">
        <w:tab/>
      </w:r>
      <w:r w:rsidR="00E6762F" w:rsidRPr="00E6762F">
        <w:t>Configured grant</w:t>
      </w:r>
      <w:r w:rsidR="00E6762F">
        <w:t xml:space="preserve">. </w:t>
      </w:r>
      <w:r w:rsidR="00E6762F" w:rsidRPr="00E6762F">
        <w:t>Whether to use physical or logical slots.</w:t>
      </w:r>
    </w:p>
    <w:p w14:paraId="00A72005" w14:textId="2B2EBD5E" w:rsidR="002704B5" w:rsidRPr="00701AD5" w:rsidRDefault="002704B5" w:rsidP="00B850CE">
      <w:pPr>
        <w:jc w:val="both"/>
        <w:rPr>
          <w:b/>
          <w:bCs/>
          <w:lang w:val="en-GB" w:eastAsia="ja-JP"/>
        </w:rPr>
      </w:pPr>
      <w:r w:rsidRPr="00701AD5">
        <w:rPr>
          <w:b/>
          <w:bCs/>
          <w:lang w:val="en-GB" w:eastAsia="ja-JP"/>
        </w:rPr>
        <w:t>Which of the following options is preferable:</w:t>
      </w:r>
    </w:p>
    <w:p w14:paraId="2683FE17" w14:textId="64368517" w:rsidR="002704B5" w:rsidRPr="00701AD5" w:rsidRDefault="002704B5" w:rsidP="00B850CE">
      <w:pPr>
        <w:pStyle w:val="ListParagraph"/>
        <w:numPr>
          <w:ilvl w:val="0"/>
          <w:numId w:val="30"/>
        </w:numPr>
        <w:jc w:val="both"/>
        <w:rPr>
          <w:b/>
          <w:bCs/>
          <w:lang w:val="en-GB" w:eastAsia="ja-JP"/>
        </w:rPr>
      </w:pPr>
      <w:r w:rsidRPr="00701AD5">
        <w:rPr>
          <w:b/>
          <w:bCs/>
          <w:lang w:val="en-GB" w:eastAsia="ja-JP"/>
        </w:rPr>
        <w:t xml:space="preserve">Opt. 1: The formula for determining the resources for CG Type-1 uses logical slots. </w:t>
      </w:r>
    </w:p>
    <w:p w14:paraId="30B77A85" w14:textId="2ED5AB76" w:rsidR="002704B5" w:rsidRPr="00701AD5" w:rsidRDefault="002704B5" w:rsidP="00B850CE">
      <w:pPr>
        <w:pStyle w:val="ListParagraph"/>
        <w:numPr>
          <w:ilvl w:val="0"/>
          <w:numId w:val="30"/>
        </w:numPr>
        <w:jc w:val="both"/>
        <w:rPr>
          <w:b/>
          <w:bCs/>
          <w:lang w:val="en-GB" w:eastAsia="ja-JP"/>
        </w:rPr>
      </w:pPr>
      <w:r w:rsidRPr="00701AD5">
        <w:rPr>
          <w:b/>
          <w:bCs/>
          <w:lang w:val="en-GB" w:eastAsia="ja-JP"/>
        </w:rPr>
        <w:t xml:space="preserve">Opt. </w:t>
      </w:r>
      <w:r w:rsidR="00A22491" w:rsidRPr="00701AD5">
        <w:rPr>
          <w:b/>
          <w:bCs/>
          <w:lang w:val="en-GB" w:eastAsia="ja-JP"/>
        </w:rPr>
        <w:t>2</w:t>
      </w:r>
      <w:r w:rsidRPr="00701AD5">
        <w:rPr>
          <w:b/>
          <w:bCs/>
          <w:lang w:val="en-GB" w:eastAsia="ja-JP"/>
        </w:rPr>
        <w:t xml:space="preserve">: The formula for determining the resources for CG Type-1 uses physical slots. </w:t>
      </w:r>
    </w:p>
    <w:tbl>
      <w:tblPr>
        <w:tblStyle w:val="TableGrid"/>
        <w:tblW w:w="9634" w:type="dxa"/>
        <w:tblLook w:val="04A0" w:firstRow="1" w:lastRow="0" w:firstColumn="1" w:lastColumn="0" w:noHBand="0" w:noVBand="1"/>
      </w:tblPr>
      <w:tblGrid>
        <w:gridCol w:w="1189"/>
        <w:gridCol w:w="8445"/>
      </w:tblGrid>
      <w:tr w:rsidR="005A3B37" w14:paraId="660354A9" w14:textId="77777777" w:rsidTr="00975003">
        <w:tc>
          <w:tcPr>
            <w:tcW w:w="1189" w:type="dxa"/>
            <w:shd w:val="clear" w:color="auto" w:fill="E7E6E6" w:themeFill="background2"/>
          </w:tcPr>
          <w:p w14:paraId="7E407E50" w14:textId="77777777" w:rsidR="005A3B37" w:rsidRPr="00D04EC5" w:rsidRDefault="005A3B37" w:rsidP="00975003">
            <w:pPr>
              <w:jc w:val="center"/>
              <w:rPr>
                <w:b/>
                <w:bCs/>
                <w:lang w:val="en-GB" w:eastAsia="ja-JP"/>
              </w:rPr>
            </w:pPr>
            <w:r w:rsidRPr="00D04EC5">
              <w:rPr>
                <w:b/>
                <w:bCs/>
                <w:lang w:val="en-GB" w:eastAsia="ja-JP"/>
              </w:rPr>
              <w:t>Company</w:t>
            </w:r>
          </w:p>
        </w:tc>
        <w:tc>
          <w:tcPr>
            <w:tcW w:w="8445" w:type="dxa"/>
            <w:shd w:val="clear" w:color="auto" w:fill="E7E6E6" w:themeFill="background2"/>
          </w:tcPr>
          <w:p w14:paraId="0B3AB375" w14:textId="77777777" w:rsidR="005A3B37" w:rsidRPr="00D04EC5" w:rsidRDefault="005A3B37" w:rsidP="00975003">
            <w:pPr>
              <w:jc w:val="center"/>
              <w:rPr>
                <w:b/>
                <w:bCs/>
                <w:lang w:val="en-GB" w:eastAsia="ja-JP"/>
              </w:rPr>
            </w:pPr>
            <w:r w:rsidRPr="00D04EC5">
              <w:rPr>
                <w:b/>
                <w:bCs/>
                <w:lang w:val="en-GB" w:eastAsia="ja-JP"/>
              </w:rPr>
              <w:t>Views</w:t>
            </w:r>
          </w:p>
        </w:tc>
      </w:tr>
      <w:tr w:rsidR="005A3B37" w14:paraId="63CC925A" w14:textId="77777777" w:rsidTr="00975003">
        <w:tc>
          <w:tcPr>
            <w:tcW w:w="1189" w:type="dxa"/>
          </w:tcPr>
          <w:p w14:paraId="28D3CA56" w14:textId="2FE4C340" w:rsidR="005A3B37" w:rsidRDefault="0077388C" w:rsidP="00975003">
            <w:pPr>
              <w:rPr>
                <w:lang w:val="en-GB" w:eastAsia="ja-JP"/>
              </w:rPr>
            </w:pPr>
            <w:r>
              <w:rPr>
                <w:lang w:val="en-GB" w:eastAsia="ja-JP"/>
              </w:rPr>
              <w:t>Ericsson</w:t>
            </w:r>
          </w:p>
        </w:tc>
        <w:tc>
          <w:tcPr>
            <w:tcW w:w="8445" w:type="dxa"/>
          </w:tcPr>
          <w:p w14:paraId="60061125" w14:textId="39B61B78" w:rsidR="005A3B37" w:rsidRDefault="0077388C" w:rsidP="00975003">
            <w:pPr>
              <w:rPr>
                <w:lang w:val="en-GB" w:eastAsia="ja-JP"/>
              </w:rPr>
            </w:pPr>
            <w:r>
              <w:rPr>
                <w:lang w:val="en-GB" w:eastAsia="ja-JP"/>
              </w:rPr>
              <w:t xml:space="preserve">Logical slots as not all </w:t>
            </w:r>
            <w:r w:rsidR="000758ED">
              <w:rPr>
                <w:lang w:val="en-GB" w:eastAsia="ja-JP"/>
              </w:rPr>
              <w:t xml:space="preserve">physical </w:t>
            </w:r>
            <w:r>
              <w:rPr>
                <w:lang w:val="en-GB" w:eastAsia="ja-JP"/>
              </w:rPr>
              <w:t>slots will be available for SL</w:t>
            </w:r>
          </w:p>
        </w:tc>
      </w:tr>
      <w:tr w:rsidR="005A3B37" w14:paraId="1018A736" w14:textId="77777777" w:rsidTr="00975003">
        <w:tc>
          <w:tcPr>
            <w:tcW w:w="1189" w:type="dxa"/>
          </w:tcPr>
          <w:p w14:paraId="3A1785B3" w14:textId="03D0B389" w:rsidR="005A3B37" w:rsidRDefault="00DD73D3" w:rsidP="00975003">
            <w:pPr>
              <w:rPr>
                <w:lang w:val="en-GB" w:eastAsia="ja-JP"/>
              </w:rPr>
            </w:pPr>
            <w:r>
              <w:rPr>
                <w:lang w:val="en-GB" w:eastAsia="ja-JP"/>
              </w:rPr>
              <w:t>Intel</w:t>
            </w:r>
          </w:p>
        </w:tc>
        <w:tc>
          <w:tcPr>
            <w:tcW w:w="8445" w:type="dxa"/>
          </w:tcPr>
          <w:p w14:paraId="4EBCE137" w14:textId="77C136EE" w:rsidR="005A3B37" w:rsidRDefault="00DD73D3" w:rsidP="00975003">
            <w:pPr>
              <w:rPr>
                <w:lang w:val="en-GB" w:eastAsia="ja-JP"/>
              </w:rPr>
            </w:pPr>
            <w:r>
              <w:rPr>
                <w:lang w:val="en-GB" w:eastAsia="ja-JP"/>
              </w:rPr>
              <w:t>Our preference is to align periodic slots determination wit</w:t>
            </w:r>
            <w:r w:rsidR="00F332A9">
              <w:rPr>
                <w:lang w:val="en-GB" w:eastAsia="ja-JP"/>
              </w:rPr>
              <w:t>h</w:t>
            </w:r>
            <w:bookmarkStart w:id="1" w:name="_GoBack"/>
            <w:bookmarkEnd w:id="1"/>
            <w:r>
              <w:rPr>
                <w:lang w:val="en-GB" w:eastAsia="ja-JP"/>
              </w:rPr>
              <w:t xml:space="preserve"> Mode-2. I.e. even if Option 1 is selected, there should be additional conversion step from ms to logical slots of the resource pool.</w:t>
            </w:r>
          </w:p>
          <w:p w14:paraId="3370F94C" w14:textId="3435FBEC" w:rsidR="00DD73D3" w:rsidRDefault="00DD73D3" w:rsidP="00975003">
            <w:pPr>
              <w:rPr>
                <w:lang w:val="en-GB" w:eastAsia="ja-JP"/>
              </w:rPr>
            </w:pPr>
            <w:r>
              <w:rPr>
                <w:lang w:val="en-GB" w:eastAsia="ja-JP"/>
              </w:rPr>
              <w:t>Otherwise, resource pool sharing between M1 and M2 will be problematic due to different interpretations of the signalled periodicity.</w:t>
            </w:r>
          </w:p>
        </w:tc>
      </w:tr>
      <w:tr w:rsidR="005A3B37" w14:paraId="7C24916E" w14:textId="77777777" w:rsidTr="00975003">
        <w:tc>
          <w:tcPr>
            <w:tcW w:w="1189" w:type="dxa"/>
          </w:tcPr>
          <w:p w14:paraId="1CD38ADA" w14:textId="77777777" w:rsidR="005A3B37" w:rsidRDefault="005A3B37" w:rsidP="00975003">
            <w:pPr>
              <w:rPr>
                <w:lang w:val="en-GB" w:eastAsia="ja-JP"/>
              </w:rPr>
            </w:pPr>
          </w:p>
        </w:tc>
        <w:tc>
          <w:tcPr>
            <w:tcW w:w="8445" w:type="dxa"/>
          </w:tcPr>
          <w:p w14:paraId="7A828490" w14:textId="77777777" w:rsidR="005A3B37" w:rsidRDefault="005A3B37" w:rsidP="00975003">
            <w:pPr>
              <w:rPr>
                <w:lang w:val="en-GB" w:eastAsia="ja-JP"/>
              </w:rPr>
            </w:pPr>
          </w:p>
        </w:tc>
      </w:tr>
      <w:tr w:rsidR="005A3B37" w14:paraId="676001F5" w14:textId="77777777" w:rsidTr="00975003">
        <w:tc>
          <w:tcPr>
            <w:tcW w:w="1189" w:type="dxa"/>
          </w:tcPr>
          <w:p w14:paraId="21EC1263" w14:textId="77777777" w:rsidR="005A3B37" w:rsidRDefault="005A3B37" w:rsidP="00975003">
            <w:pPr>
              <w:rPr>
                <w:lang w:val="en-GB" w:eastAsia="ja-JP"/>
              </w:rPr>
            </w:pPr>
          </w:p>
        </w:tc>
        <w:tc>
          <w:tcPr>
            <w:tcW w:w="8445" w:type="dxa"/>
          </w:tcPr>
          <w:p w14:paraId="788A2951" w14:textId="77777777" w:rsidR="005A3B37" w:rsidRDefault="005A3B37" w:rsidP="00975003">
            <w:pPr>
              <w:rPr>
                <w:lang w:val="en-GB" w:eastAsia="ja-JP"/>
              </w:rPr>
            </w:pPr>
          </w:p>
        </w:tc>
      </w:tr>
    </w:tbl>
    <w:p w14:paraId="49453FA3" w14:textId="01A5D702" w:rsidR="002704B5" w:rsidRDefault="002704B5" w:rsidP="00D04EC5">
      <w:pPr>
        <w:rPr>
          <w:lang w:val="en-GB" w:eastAsia="ja-JP"/>
        </w:rPr>
      </w:pPr>
    </w:p>
    <w:p w14:paraId="3A7C1125" w14:textId="692FAA85"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52362A56" w14:textId="4A893D24" w:rsidR="00701AD5" w:rsidRDefault="00E11080" w:rsidP="00D4490A">
      <w:pPr>
        <w:jc w:val="both"/>
        <w:rPr>
          <w:b/>
          <w:bCs/>
          <w:lang w:val="en-GB" w:eastAsia="ja-JP"/>
        </w:rPr>
      </w:pPr>
      <w:r w:rsidRPr="007D6EFB">
        <w:rPr>
          <w:b/>
          <w:bCs/>
          <w:lang w:val="en-GB" w:eastAsia="ja-JP"/>
        </w:rPr>
        <w:t xml:space="preserve">Regarding the </w:t>
      </w:r>
      <w:r w:rsidR="007D6EFB" w:rsidRPr="007D6EFB">
        <w:rPr>
          <w:b/>
          <w:bCs/>
          <w:lang w:val="en-GB" w:eastAsia="ja-JP"/>
        </w:rPr>
        <w:t>remaining</w:t>
      </w:r>
      <w:r w:rsidRPr="007D6EFB">
        <w:rPr>
          <w:b/>
          <w:bCs/>
          <w:lang w:val="en-GB" w:eastAsia="ja-JP"/>
        </w:rPr>
        <w:t xml:space="preserve"> details of frame indexing for Type-1 configured grant</w:t>
      </w:r>
      <w:r w:rsidR="007D6EFB">
        <w:rPr>
          <w:b/>
          <w:bCs/>
          <w:lang w:val="en-GB" w:eastAsia="ja-JP"/>
        </w:rPr>
        <w:t>:</w:t>
      </w:r>
    </w:p>
    <w:p w14:paraId="6A14DFB9" w14:textId="4CC44CDA" w:rsidR="007D6EFB" w:rsidRDefault="007D6EFB" w:rsidP="00D4490A">
      <w:pPr>
        <w:pStyle w:val="ListParagraph"/>
        <w:numPr>
          <w:ilvl w:val="0"/>
          <w:numId w:val="43"/>
        </w:numPr>
        <w:jc w:val="both"/>
        <w:rPr>
          <w:b/>
          <w:bCs/>
          <w:lang w:val="en-GB" w:eastAsia="ja-JP"/>
        </w:rPr>
      </w:pPr>
      <w:r>
        <w:rPr>
          <w:b/>
          <w:bCs/>
          <w:lang w:val="en-GB" w:eastAsia="ja-JP"/>
        </w:rPr>
        <w:t>Which frame indexing should be used?</w:t>
      </w:r>
    </w:p>
    <w:p w14:paraId="21C52D8D" w14:textId="0D923CD5" w:rsidR="007D6EFB" w:rsidRDefault="007D6EFB" w:rsidP="00D4490A">
      <w:pPr>
        <w:pStyle w:val="ListParagraph"/>
        <w:numPr>
          <w:ilvl w:val="0"/>
          <w:numId w:val="43"/>
        </w:numPr>
        <w:jc w:val="both"/>
        <w:rPr>
          <w:b/>
          <w:bCs/>
          <w:lang w:val="en-GB" w:eastAsia="ja-JP"/>
        </w:rPr>
      </w:pPr>
      <w:r>
        <w:rPr>
          <w:b/>
          <w:bCs/>
          <w:lang w:val="en-GB" w:eastAsia="ja-JP"/>
        </w:rPr>
        <w:t>How does it work for the asynchronous case if the gNB is aware of the timing difference between Uu and SL?</w:t>
      </w:r>
    </w:p>
    <w:p w14:paraId="7D24D785" w14:textId="16D3D3BA" w:rsidR="007D6EFB" w:rsidRPr="007D6EFB" w:rsidRDefault="007D6EFB" w:rsidP="00D4490A">
      <w:pPr>
        <w:pStyle w:val="ListParagraph"/>
        <w:numPr>
          <w:ilvl w:val="0"/>
          <w:numId w:val="43"/>
        </w:numPr>
        <w:jc w:val="both"/>
        <w:rPr>
          <w:b/>
          <w:bCs/>
          <w:lang w:val="en-GB" w:eastAsia="ja-JP"/>
        </w:rPr>
      </w:pPr>
      <w:r>
        <w:rPr>
          <w:b/>
          <w:bCs/>
          <w:lang w:val="en-GB" w:eastAsia="ja-JP"/>
        </w:rPr>
        <w:t xml:space="preserve">How does it work for the asynchronous case if the gNB is </w:t>
      </w:r>
      <w:r w:rsidRPr="00D4490A">
        <w:rPr>
          <w:b/>
          <w:bCs/>
          <w:u w:val="single"/>
          <w:lang w:val="en-GB" w:eastAsia="ja-JP"/>
        </w:rPr>
        <w:t>not</w:t>
      </w:r>
      <w:r>
        <w:rPr>
          <w:b/>
          <w:bCs/>
          <w:lang w:val="en-GB" w:eastAsia="ja-JP"/>
        </w:rPr>
        <w:t xml:space="preserve"> aware of the timing difference between Uu and SL?</w:t>
      </w:r>
    </w:p>
    <w:tbl>
      <w:tblPr>
        <w:tblStyle w:val="TableGrid"/>
        <w:tblW w:w="9634" w:type="dxa"/>
        <w:tblLook w:val="04A0" w:firstRow="1" w:lastRow="0" w:firstColumn="1" w:lastColumn="0" w:noHBand="0" w:noVBand="1"/>
      </w:tblPr>
      <w:tblGrid>
        <w:gridCol w:w="1189"/>
        <w:gridCol w:w="8445"/>
      </w:tblGrid>
      <w:tr w:rsidR="005A3B37" w14:paraId="7A445414" w14:textId="77777777" w:rsidTr="00975003">
        <w:tc>
          <w:tcPr>
            <w:tcW w:w="1189" w:type="dxa"/>
            <w:shd w:val="clear" w:color="auto" w:fill="E7E6E6" w:themeFill="background2"/>
          </w:tcPr>
          <w:p w14:paraId="20B14DFB" w14:textId="77777777" w:rsidR="005A3B37" w:rsidRPr="00D04EC5" w:rsidRDefault="005A3B37" w:rsidP="00975003">
            <w:pPr>
              <w:jc w:val="center"/>
              <w:rPr>
                <w:b/>
                <w:bCs/>
                <w:lang w:val="en-GB" w:eastAsia="ja-JP"/>
              </w:rPr>
            </w:pPr>
            <w:r w:rsidRPr="00D04EC5">
              <w:rPr>
                <w:b/>
                <w:bCs/>
                <w:lang w:val="en-GB" w:eastAsia="ja-JP"/>
              </w:rPr>
              <w:t>Company</w:t>
            </w:r>
          </w:p>
        </w:tc>
        <w:tc>
          <w:tcPr>
            <w:tcW w:w="8445" w:type="dxa"/>
            <w:shd w:val="clear" w:color="auto" w:fill="E7E6E6" w:themeFill="background2"/>
          </w:tcPr>
          <w:p w14:paraId="4D095666" w14:textId="77777777" w:rsidR="005A3B37" w:rsidRPr="00D04EC5" w:rsidRDefault="005A3B37" w:rsidP="00975003">
            <w:pPr>
              <w:jc w:val="center"/>
              <w:rPr>
                <w:b/>
                <w:bCs/>
                <w:lang w:val="en-GB" w:eastAsia="ja-JP"/>
              </w:rPr>
            </w:pPr>
            <w:r w:rsidRPr="00D04EC5">
              <w:rPr>
                <w:b/>
                <w:bCs/>
                <w:lang w:val="en-GB" w:eastAsia="ja-JP"/>
              </w:rPr>
              <w:t>Views</w:t>
            </w:r>
          </w:p>
        </w:tc>
      </w:tr>
      <w:tr w:rsidR="005A3B37" w14:paraId="09FE5546" w14:textId="77777777" w:rsidTr="00975003">
        <w:tc>
          <w:tcPr>
            <w:tcW w:w="1189" w:type="dxa"/>
          </w:tcPr>
          <w:p w14:paraId="2A5A78FB" w14:textId="60CAB8FB" w:rsidR="005A3B37" w:rsidRDefault="0077388C" w:rsidP="00975003">
            <w:pPr>
              <w:rPr>
                <w:lang w:val="en-GB" w:eastAsia="ja-JP"/>
              </w:rPr>
            </w:pPr>
            <w:r>
              <w:rPr>
                <w:lang w:val="en-GB" w:eastAsia="ja-JP"/>
              </w:rPr>
              <w:t>Ericsson</w:t>
            </w:r>
          </w:p>
        </w:tc>
        <w:tc>
          <w:tcPr>
            <w:tcW w:w="8445" w:type="dxa"/>
          </w:tcPr>
          <w:p w14:paraId="279F4286" w14:textId="76974588" w:rsidR="005A3B37" w:rsidRDefault="0077388C" w:rsidP="00975003">
            <w:pPr>
              <w:rPr>
                <w:lang w:val="en-GB" w:eastAsia="ja-JP"/>
              </w:rPr>
            </w:pPr>
            <w:r>
              <w:rPr>
                <w:lang w:val="en-GB" w:eastAsia="ja-JP"/>
              </w:rPr>
              <w:t>In our view, a virtual frame indexing is necessary.</w:t>
            </w:r>
            <w:r w:rsidR="00F725FE">
              <w:rPr>
                <w:lang w:val="en-GB" w:eastAsia="ja-JP"/>
              </w:rPr>
              <w:t xml:space="preserve"> The virtual frame indexing is given by the time reference</w:t>
            </w:r>
            <w:r w:rsidR="00F725FE" w:rsidRPr="00DB44FE">
              <w:rPr>
                <w:rFonts w:ascii="Arial" w:hAnsi="Arial" w:cs="Arial"/>
                <w:sz w:val="20"/>
                <w:szCs w:val="20"/>
              </w:rPr>
              <w:t xml:space="preserve"> </w:t>
            </w:r>
            <m:oMath>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VFN,0</m:t>
                  </m:r>
                </m:sub>
              </m:sSub>
              <m:r>
                <w:rPr>
                  <w:rFonts w:ascii="Cambria Math" w:eastAsia="Times New Roman" w:hAnsi="Cambria Math" w:cs="Arial"/>
                  <w:sz w:val="20"/>
                  <w:szCs w:val="20"/>
                  <w:lang w:val="en-GB" w:eastAsia="ja-JP"/>
                </w:rPr>
                <m:t xml:space="preserve">= </m:t>
              </m:r>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eastAsia="ja-JP"/>
                </w:rPr>
                <m:t>-</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r>
                <w:rPr>
                  <w:rFonts w:ascii="Cambria Math" w:hAnsi="Cambria Math" w:cs="Arial"/>
                  <w:sz w:val="20"/>
                  <w:szCs w:val="20"/>
                  <w:lang w:val="en-GB" w:eastAsia="ja-JP"/>
                </w:rPr>
                <m:t>.</m:t>
              </m:r>
            </m:oMath>
            <w:r w:rsidR="00325C06">
              <w:rPr>
                <w:rFonts w:ascii="Arial" w:eastAsiaTheme="minorEastAsia" w:hAnsi="Arial" w:cs="Arial"/>
                <w:sz w:val="20"/>
                <w:szCs w:val="20"/>
                <w:lang w:val="en-GB" w:eastAsia="ja-JP"/>
              </w:rPr>
              <w:t xml:space="preserve"> This can be used in both cases.</w:t>
            </w:r>
          </w:p>
          <w:p w14:paraId="4807B1D7" w14:textId="53696303" w:rsidR="0077388C" w:rsidRDefault="0077388C" w:rsidP="00975003">
            <w:pPr>
              <w:rPr>
                <w:lang w:val="en-GB" w:eastAsia="ja-JP"/>
              </w:rPr>
            </w:pPr>
            <w:r>
              <w:rPr>
                <w:lang w:val="en-GB" w:eastAsia="ja-JP"/>
              </w:rPr>
              <w:t>F</w:t>
            </w:r>
            <w:r w:rsidRPr="0077388C">
              <w:rPr>
                <w:lang w:val="en-GB" w:eastAsia="ja-JP"/>
              </w:rPr>
              <w:t>or the asynchronous case if the gNB is aware of the timing difference between Uu and SL</w:t>
            </w:r>
            <w:r>
              <w:rPr>
                <w:lang w:val="en-GB" w:eastAsia="ja-JP"/>
              </w:rPr>
              <w:t>, both SFN and virtual indexing work fine. The gNB can keep track of the scheduling internally.</w:t>
            </w:r>
          </w:p>
          <w:p w14:paraId="6BDFF672" w14:textId="008DBAA3" w:rsidR="00325C06" w:rsidRDefault="0077388C" w:rsidP="00325C06">
            <w:pPr>
              <w:rPr>
                <w:lang w:val="en-GB" w:eastAsia="ja-JP"/>
              </w:rPr>
            </w:pPr>
            <w:r>
              <w:rPr>
                <w:lang w:val="en-GB" w:eastAsia="ja-JP"/>
              </w:rPr>
              <w:lastRenderedPageBreak/>
              <w:t xml:space="preserve">For </w:t>
            </w:r>
            <w:r w:rsidRPr="0077388C">
              <w:rPr>
                <w:lang w:val="en-GB" w:eastAsia="ja-JP"/>
              </w:rPr>
              <w:t>the asynchronous case if the gNB is not aware of the timing difference between Uu and SL</w:t>
            </w:r>
            <w:r>
              <w:rPr>
                <w:lang w:val="en-GB" w:eastAsia="ja-JP"/>
              </w:rPr>
              <w:t>, SFN does not work well. The gNB cannot keep track of the scheduling. It is necessary to correct the grant with a term T_TA/2, in the same way as for DG.</w:t>
            </w:r>
          </w:p>
        </w:tc>
      </w:tr>
      <w:tr w:rsidR="005A3B37" w14:paraId="2A84DF80" w14:textId="77777777" w:rsidTr="00975003">
        <w:tc>
          <w:tcPr>
            <w:tcW w:w="1189" w:type="dxa"/>
          </w:tcPr>
          <w:p w14:paraId="7D1A1A98" w14:textId="601348B9" w:rsidR="005A3B37" w:rsidRDefault="00DD73D3" w:rsidP="00975003">
            <w:pPr>
              <w:rPr>
                <w:lang w:val="en-GB" w:eastAsia="ja-JP"/>
              </w:rPr>
            </w:pPr>
            <w:r>
              <w:rPr>
                <w:lang w:val="en-GB" w:eastAsia="ja-JP"/>
              </w:rPr>
              <w:lastRenderedPageBreak/>
              <w:t>Intel</w:t>
            </w:r>
          </w:p>
        </w:tc>
        <w:tc>
          <w:tcPr>
            <w:tcW w:w="8445" w:type="dxa"/>
          </w:tcPr>
          <w:p w14:paraId="6D7B33F3" w14:textId="6F83B595" w:rsidR="005A3B37" w:rsidRDefault="00DD73D3" w:rsidP="00975003">
            <w:pPr>
              <w:rPr>
                <w:lang w:val="en-GB" w:eastAsia="ja-JP"/>
              </w:rPr>
            </w:pPr>
            <w:r>
              <w:rPr>
                <w:lang w:val="en-GB" w:eastAsia="ja-JP"/>
              </w:rPr>
              <w:t>Agree with Ericsson’s arguments and conclusions.</w:t>
            </w:r>
          </w:p>
        </w:tc>
      </w:tr>
      <w:tr w:rsidR="005A3B37" w14:paraId="2A8A443B" w14:textId="77777777" w:rsidTr="00975003">
        <w:tc>
          <w:tcPr>
            <w:tcW w:w="1189" w:type="dxa"/>
          </w:tcPr>
          <w:p w14:paraId="467EEC78" w14:textId="77777777" w:rsidR="005A3B37" w:rsidRDefault="005A3B37" w:rsidP="00975003">
            <w:pPr>
              <w:rPr>
                <w:lang w:val="en-GB" w:eastAsia="ja-JP"/>
              </w:rPr>
            </w:pPr>
          </w:p>
        </w:tc>
        <w:tc>
          <w:tcPr>
            <w:tcW w:w="8445" w:type="dxa"/>
          </w:tcPr>
          <w:p w14:paraId="0E428F90" w14:textId="77777777" w:rsidR="005A3B37" w:rsidRDefault="005A3B37" w:rsidP="00975003">
            <w:pPr>
              <w:rPr>
                <w:lang w:val="en-GB" w:eastAsia="ja-JP"/>
              </w:rPr>
            </w:pPr>
          </w:p>
        </w:tc>
      </w:tr>
      <w:tr w:rsidR="005A3B37" w14:paraId="34DBAB18" w14:textId="77777777" w:rsidTr="00975003">
        <w:tc>
          <w:tcPr>
            <w:tcW w:w="1189" w:type="dxa"/>
          </w:tcPr>
          <w:p w14:paraId="156858C3" w14:textId="77777777" w:rsidR="005A3B37" w:rsidRDefault="005A3B37" w:rsidP="00975003">
            <w:pPr>
              <w:rPr>
                <w:lang w:val="en-GB" w:eastAsia="ja-JP"/>
              </w:rPr>
            </w:pPr>
          </w:p>
        </w:tc>
        <w:tc>
          <w:tcPr>
            <w:tcW w:w="8445" w:type="dxa"/>
          </w:tcPr>
          <w:p w14:paraId="5F21F5B3" w14:textId="77777777" w:rsidR="005A3B37" w:rsidRDefault="005A3B37" w:rsidP="00975003">
            <w:pPr>
              <w:rPr>
                <w:lang w:val="en-GB" w:eastAsia="ja-JP"/>
              </w:rPr>
            </w:pPr>
          </w:p>
        </w:tc>
      </w:tr>
    </w:tbl>
    <w:p w14:paraId="3E3472CC" w14:textId="77777777" w:rsidR="007D6EFB" w:rsidRPr="007D6EFB" w:rsidRDefault="007D6EFB" w:rsidP="007D6EFB">
      <w:pPr>
        <w:rPr>
          <w:b/>
          <w:bCs/>
          <w:lang w:val="en-GB" w:eastAsia="ja-JP"/>
        </w:rPr>
      </w:pPr>
    </w:p>
    <w:p w14:paraId="06DE69AA" w14:textId="66C2ED49" w:rsidR="00CE46B8" w:rsidRDefault="00701AD5" w:rsidP="00CE46B8">
      <w:pPr>
        <w:pStyle w:val="Heading2"/>
      </w:pPr>
      <w:r w:rsidRPr="00724BCB">
        <w:t>Q4.</w:t>
      </w:r>
      <w:r w:rsidR="00CE46B8">
        <w:tab/>
      </w:r>
      <w:r w:rsidR="00CE46B8" w:rsidRPr="00CE46B8">
        <w:t>Configured grant</w:t>
      </w:r>
      <w:r w:rsidR="00CE46B8">
        <w:t xml:space="preserve">. </w:t>
      </w:r>
      <w:r w:rsidR="00CE46B8" w:rsidRPr="00CE46B8">
        <w:t>Remaining details on HARQ process ID determination</w:t>
      </w:r>
    </w:p>
    <w:p w14:paraId="6EFB8C30" w14:textId="1D884DF7" w:rsidR="00C97B4C" w:rsidRPr="00724BCB" w:rsidRDefault="008E4D8A" w:rsidP="00C97B4C">
      <w:pPr>
        <w:rPr>
          <w:b/>
          <w:bCs/>
          <w:lang w:val="en-GB" w:eastAsia="ja-JP"/>
        </w:rPr>
      </w:pPr>
      <w:r w:rsidRPr="00724BCB">
        <w:rPr>
          <w:b/>
          <w:bCs/>
          <w:lang w:val="en-GB" w:eastAsia="ja-JP"/>
        </w:rPr>
        <w:t>Remaining details on HARQ process ID determination</w:t>
      </w:r>
    </w:p>
    <w:p w14:paraId="3F2EDEE6" w14:textId="4943F558" w:rsidR="005A3B37" w:rsidRDefault="00E6762F" w:rsidP="005A3B37">
      <w:pPr>
        <w:pStyle w:val="ListParagraph"/>
        <w:numPr>
          <w:ilvl w:val="0"/>
          <w:numId w:val="42"/>
        </w:numPr>
        <w:rPr>
          <w:lang w:val="en-GB" w:eastAsia="ja-JP"/>
        </w:rPr>
      </w:pPr>
      <w:r>
        <w:rPr>
          <w:lang w:val="en-GB" w:eastAsia="ja-JP"/>
        </w:rPr>
        <w:t>FL proposal: discuss this together with the reply to the RAN2 LS. See Q8</w:t>
      </w:r>
      <w:r w:rsidR="00BF443B">
        <w:rPr>
          <w:lang w:val="en-GB" w:eastAsia="ja-JP"/>
        </w:rPr>
        <w:t>-1</w:t>
      </w:r>
      <w:r>
        <w:rPr>
          <w:lang w:val="en-GB" w:eastAsia="ja-JP"/>
        </w:rPr>
        <w:t>.</w:t>
      </w:r>
    </w:p>
    <w:tbl>
      <w:tblPr>
        <w:tblStyle w:val="TableGrid"/>
        <w:tblW w:w="9634" w:type="dxa"/>
        <w:tblLook w:val="04A0" w:firstRow="1" w:lastRow="0" w:firstColumn="1" w:lastColumn="0" w:noHBand="0" w:noVBand="1"/>
      </w:tblPr>
      <w:tblGrid>
        <w:gridCol w:w="1189"/>
        <w:gridCol w:w="8445"/>
      </w:tblGrid>
      <w:tr w:rsidR="005A3B37" w14:paraId="42F3274A" w14:textId="77777777" w:rsidTr="00975003">
        <w:tc>
          <w:tcPr>
            <w:tcW w:w="1189" w:type="dxa"/>
            <w:shd w:val="clear" w:color="auto" w:fill="E7E6E6" w:themeFill="background2"/>
          </w:tcPr>
          <w:p w14:paraId="7F5AF409" w14:textId="77777777" w:rsidR="005A3B37" w:rsidRPr="00D04EC5" w:rsidRDefault="005A3B37" w:rsidP="00975003">
            <w:pPr>
              <w:jc w:val="center"/>
              <w:rPr>
                <w:b/>
                <w:bCs/>
                <w:lang w:val="en-GB" w:eastAsia="ja-JP"/>
              </w:rPr>
            </w:pPr>
            <w:r w:rsidRPr="00D04EC5">
              <w:rPr>
                <w:b/>
                <w:bCs/>
                <w:lang w:val="en-GB" w:eastAsia="ja-JP"/>
              </w:rPr>
              <w:t>Company</w:t>
            </w:r>
          </w:p>
        </w:tc>
        <w:tc>
          <w:tcPr>
            <w:tcW w:w="8445" w:type="dxa"/>
            <w:shd w:val="clear" w:color="auto" w:fill="E7E6E6" w:themeFill="background2"/>
          </w:tcPr>
          <w:p w14:paraId="5F5109D5" w14:textId="77777777" w:rsidR="005A3B37" w:rsidRPr="00D04EC5" w:rsidRDefault="005A3B37" w:rsidP="00975003">
            <w:pPr>
              <w:jc w:val="center"/>
              <w:rPr>
                <w:b/>
                <w:bCs/>
                <w:lang w:val="en-GB" w:eastAsia="ja-JP"/>
              </w:rPr>
            </w:pPr>
            <w:r w:rsidRPr="00D04EC5">
              <w:rPr>
                <w:b/>
                <w:bCs/>
                <w:lang w:val="en-GB" w:eastAsia="ja-JP"/>
              </w:rPr>
              <w:t>Views</w:t>
            </w:r>
          </w:p>
        </w:tc>
      </w:tr>
      <w:tr w:rsidR="005A3B37" w14:paraId="10B9BD5F" w14:textId="77777777" w:rsidTr="00975003">
        <w:tc>
          <w:tcPr>
            <w:tcW w:w="1189" w:type="dxa"/>
          </w:tcPr>
          <w:p w14:paraId="053725D7" w14:textId="77777777" w:rsidR="005A3B37" w:rsidRDefault="005A3B37" w:rsidP="00975003">
            <w:pPr>
              <w:rPr>
                <w:lang w:val="en-GB" w:eastAsia="ja-JP"/>
              </w:rPr>
            </w:pPr>
          </w:p>
        </w:tc>
        <w:tc>
          <w:tcPr>
            <w:tcW w:w="8445" w:type="dxa"/>
          </w:tcPr>
          <w:p w14:paraId="2FB3686C" w14:textId="77777777" w:rsidR="005A3B37" w:rsidRDefault="005A3B37" w:rsidP="00975003">
            <w:pPr>
              <w:rPr>
                <w:lang w:val="en-GB" w:eastAsia="ja-JP"/>
              </w:rPr>
            </w:pPr>
          </w:p>
        </w:tc>
      </w:tr>
      <w:tr w:rsidR="005A3B37" w14:paraId="2867C3A5" w14:textId="77777777" w:rsidTr="00975003">
        <w:tc>
          <w:tcPr>
            <w:tcW w:w="1189" w:type="dxa"/>
          </w:tcPr>
          <w:p w14:paraId="40A29996" w14:textId="77777777" w:rsidR="005A3B37" w:rsidRDefault="005A3B37" w:rsidP="00975003">
            <w:pPr>
              <w:rPr>
                <w:lang w:val="en-GB" w:eastAsia="ja-JP"/>
              </w:rPr>
            </w:pPr>
          </w:p>
        </w:tc>
        <w:tc>
          <w:tcPr>
            <w:tcW w:w="8445" w:type="dxa"/>
          </w:tcPr>
          <w:p w14:paraId="38EAF28C" w14:textId="77777777" w:rsidR="005A3B37" w:rsidRDefault="005A3B37" w:rsidP="00975003">
            <w:pPr>
              <w:rPr>
                <w:lang w:val="en-GB" w:eastAsia="ja-JP"/>
              </w:rPr>
            </w:pPr>
          </w:p>
        </w:tc>
      </w:tr>
      <w:tr w:rsidR="005A3B37" w14:paraId="18657A7B" w14:textId="77777777" w:rsidTr="00975003">
        <w:tc>
          <w:tcPr>
            <w:tcW w:w="1189" w:type="dxa"/>
          </w:tcPr>
          <w:p w14:paraId="2FC9622A" w14:textId="77777777" w:rsidR="005A3B37" w:rsidRDefault="005A3B37" w:rsidP="00975003">
            <w:pPr>
              <w:rPr>
                <w:lang w:val="en-GB" w:eastAsia="ja-JP"/>
              </w:rPr>
            </w:pPr>
          </w:p>
        </w:tc>
        <w:tc>
          <w:tcPr>
            <w:tcW w:w="8445" w:type="dxa"/>
          </w:tcPr>
          <w:p w14:paraId="5BC7BB33" w14:textId="77777777" w:rsidR="005A3B37" w:rsidRDefault="005A3B37" w:rsidP="00975003">
            <w:pPr>
              <w:rPr>
                <w:lang w:val="en-GB" w:eastAsia="ja-JP"/>
              </w:rPr>
            </w:pPr>
          </w:p>
        </w:tc>
      </w:tr>
      <w:tr w:rsidR="005A3B37" w14:paraId="5B3EA1EB" w14:textId="77777777" w:rsidTr="00975003">
        <w:tc>
          <w:tcPr>
            <w:tcW w:w="1189" w:type="dxa"/>
          </w:tcPr>
          <w:p w14:paraId="08188A31" w14:textId="77777777" w:rsidR="005A3B37" w:rsidRDefault="005A3B37" w:rsidP="00975003">
            <w:pPr>
              <w:rPr>
                <w:lang w:val="en-GB" w:eastAsia="ja-JP"/>
              </w:rPr>
            </w:pPr>
          </w:p>
        </w:tc>
        <w:tc>
          <w:tcPr>
            <w:tcW w:w="8445" w:type="dxa"/>
          </w:tcPr>
          <w:p w14:paraId="307A348C" w14:textId="77777777" w:rsidR="005A3B37" w:rsidRDefault="005A3B37" w:rsidP="00975003">
            <w:pPr>
              <w:rPr>
                <w:lang w:val="en-GB" w:eastAsia="ja-JP"/>
              </w:rPr>
            </w:pPr>
          </w:p>
        </w:tc>
      </w:tr>
    </w:tbl>
    <w:p w14:paraId="4F281F30" w14:textId="77777777" w:rsidR="005A3B37" w:rsidRPr="005A3B37" w:rsidRDefault="005A3B37" w:rsidP="005A3B37">
      <w:pPr>
        <w:rPr>
          <w:lang w:val="en-GB" w:eastAsia="ja-JP"/>
        </w:rPr>
      </w:pPr>
    </w:p>
    <w:p w14:paraId="6F8CBD97" w14:textId="563EBEF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6D4D0B0C" w14:textId="32793902" w:rsidR="00701AD5" w:rsidRPr="00701AD5" w:rsidRDefault="00701AD5" w:rsidP="00D4490A">
      <w:pPr>
        <w:jc w:val="both"/>
        <w:rPr>
          <w:b/>
          <w:bCs/>
          <w:lang w:val="en-GB" w:eastAsia="ja-JP"/>
        </w:rPr>
      </w:pPr>
      <w:r w:rsidRPr="00701AD5">
        <w:rPr>
          <w:b/>
          <w:bCs/>
          <w:lang w:val="en-GB" w:eastAsia="ja-JP"/>
        </w:rPr>
        <w:t>Do you think it is necessary to introduce different capabilities for the processing times used in Mode 1?</w:t>
      </w:r>
      <w:r w:rsidR="001A4A22">
        <w:rPr>
          <w:b/>
          <w:bCs/>
          <w:lang w:val="en-GB" w:eastAsia="ja-JP"/>
        </w:rPr>
        <w:t xml:space="preserve"> If so, what should the different capabilities distinguish.</w:t>
      </w:r>
    </w:p>
    <w:p w14:paraId="0C2354C0" w14:textId="493B5EA7" w:rsidR="00701AD5" w:rsidRPr="00701AD5" w:rsidRDefault="00701AD5" w:rsidP="00D4490A">
      <w:pPr>
        <w:jc w:val="both"/>
        <w:rPr>
          <w:b/>
          <w:bCs/>
          <w:lang w:val="en-GB" w:eastAsia="ja-JP"/>
        </w:rPr>
      </w:pPr>
      <w:r w:rsidRPr="00701AD5">
        <w:rPr>
          <w:b/>
          <w:bCs/>
          <w:lang w:val="en-GB" w:eastAsia="ja-JP"/>
        </w:rPr>
        <w:t xml:space="preserve">NOTE: This does not preclude nor mandate that different capabilities are </w:t>
      </w:r>
      <w:r w:rsidR="00D4490A">
        <w:rPr>
          <w:b/>
          <w:bCs/>
          <w:lang w:val="en-GB" w:eastAsia="ja-JP"/>
        </w:rPr>
        <w:t>defined</w:t>
      </w:r>
      <w:r w:rsidRPr="00701AD5">
        <w:rPr>
          <w:b/>
          <w:bCs/>
          <w:lang w:val="en-GB" w:eastAsia="ja-JP"/>
        </w:rPr>
        <w:t xml:space="preserve"> for the processing times used in Mode 2.</w:t>
      </w:r>
    </w:p>
    <w:tbl>
      <w:tblPr>
        <w:tblStyle w:val="TableGrid"/>
        <w:tblW w:w="9634" w:type="dxa"/>
        <w:tblLook w:val="04A0" w:firstRow="1" w:lastRow="0" w:firstColumn="1" w:lastColumn="0" w:noHBand="0" w:noVBand="1"/>
      </w:tblPr>
      <w:tblGrid>
        <w:gridCol w:w="1189"/>
        <w:gridCol w:w="8445"/>
      </w:tblGrid>
      <w:tr w:rsidR="005A3B37" w14:paraId="6650BD1F" w14:textId="77777777" w:rsidTr="00975003">
        <w:tc>
          <w:tcPr>
            <w:tcW w:w="1189" w:type="dxa"/>
            <w:shd w:val="clear" w:color="auto" w:fill="E7E6E6" w:themeFill="background2"/>
          </w:tcPr>
          <w:p w14:paraId="12830A7E" w14:textId="77777777" w:rsidR="005A3B37" w:rsidRPr="00D04EC5" w:rsidRDefault="005A3B37" w:rsidP="00975003">
            <w:pPr>
              <w:jc w:val="center"/>
              <w:rPr>
                <w:b/>
                <w:bCs/>
                <w:lang w:val="en-GB" w:eastAsia="ja-JP"/>
              </w:rPr>
            </w:pPr>
            <w:r w:rsidRPr="00D04EC5">
              <w:rPr>
                <w:b/>
                <w:bCs/>
                <w:lang w:val="en-GB" w:eastAsia="ja-JP"/>
              </w:rPr>
              <w:t>Company</w:t>
            </w:r>
          </w:p>
        </w:tc>
        <w:tc>
          <w:tcPr>
            <w:tcW w:w="8445" w:type="dxa"/>
            <w:shd w:val="clear" w:color="auto" w:fill="E7E6E6" w:themeFill="background2"/>
          </w:tcPr>
          <w:p w14:paraId="48364DBA" w14:textId="77777777" w:rsidR="005A3B37" w:rsidRPr="00D04EC5" w:rsidRDefault="005A3B37" w:rsidP="00975003">
            <w:pPr>
              <w:jc w:val="center"/>
              <w:rPr>
                <w:b/>
                <w:bCs/>
                <w:lang w:val="en-GB" w:eastAsia="ja-JP"/>
              </w:rPr>
            </w:pPr>
            <w:r w:rsidRPr="00D04EC5">
              <w:rPr>
                <w:b/>
                <w:bCs/>
                <w:lang w:val="en-GB" w:eastAsia="ja-JP"/>
              </w:rPr>
              <w:t>Views</w:t>
            </w:r>
          </w:p>
        </w:tc>
      </w:tr>
      <w:tr w:rsidR="005A3B37" w14:paraId="314E8CA6" w14:textId="77777777" w:rsidTr="00975003">
        <w:tc>
          <w:tcPr>
            <w:tcW w:w="1189" w:type="dxa"/>
          </w:tcPr>
          <w:p w14:paraId="42744553" w14:textId="0F2F5874" w:rsidR="005A3B37" w:rsidRDefault="0077388C" w:rsidP="00975003">
            <w:pPr>
              <w:rPr>
                <w:lang w:val="en-GB" w:eastAsia="ja-JP"/>
              </w:rPr>
            </w:pPr>
            <w:r>
              <w:rPr>
                <w:lang w:val="en-GB" w:eastAsia="ja-JP"/>
              </w:rPr>
              <w:t>Ericsson</w:t>
            </w:r>
          </w:p>
        </w:tc>
        <w:tc>
          <w:tcPr>
            <w:tcW w:w="8445" w:type="dxa"/>
          </w:tcPr>
          <w:p w14:paraId="01944CAF" w14:textId="5D392CE9" w:rsidR="005A3B37" w:rsidRDefault="0077388C" w:rsidP="00975003">
            <w:pPr>
              <w:rPr>
                <w:lang w:val="en-GB" w:eastAsia="ja-JP"/>
              </w:rPr>
            </w:pPr>
            <w:r>
              <w:rPr>
                <w:lang w:val="en-GB" w:eastAsia="ja-JP"/>
              </w:rPr>
              <w:t>At this point a single capability seems enough.</w:t>
            </w:r>
          </w:p>
        </w:tc>
      </w:tr>
      <w:tr w:rsidR="005A3B37" w14:paraId="598756BC" w14:textId="77777777" w:rsidTr="00975003">
        <w:tc>
          <w:tcPr>
            <w:tcW w:w="1189" w:type="dxa"/>
          </w:tcPr>
          <w:p w14:paraId="2D768331" w14:textId="1E9058F6" w:rsidR="005A3B37" w:rsidRDefault="00DD73D3" w:rsidP="00975003">
            <w:pPr>
              <w:rPr>
                <w:lang w:val="en-GB" w:eastAsia="ja-JP"/>
              </w:rPr>
            </w:pPr>
            <w:r>
              <w:rPr>
                <w:lang w:val="en-GB" w:eastAsia="ja-JP"/>
              </w:rPr>
              <w:t>Intel</w:t>
            </w:r>
          </w:p>
        </w:tc>
        <w:tc>
          <w:tcPr>
            <w:tcW w:w="8445" w:type="dxa"/>
          </w:tcPr>
          <w:p w14:paraId="29DC7BC4" w14:textId="77777777" w:rsidR="00A11B94" w:rsidRDefault="00DD73D3" w:rsidP="00975003">
            <w:pPr>
              <w:rPr>
                <w:lang w:val="en-GB" w:eastAsia="ja-JP"/>
              </w:rPr>
            </w:pPr>
            <w:r>
              <w:rPr>
                <w:lang w:val="en-GB" w:eastAsia="ja-JP"/>
              </w:rPr>
              <w:t xml:space="preserve">First, we would lie to split discussion between Tprep already defined for PSFCH-to-PUCCH preparation and the processing/preparation time </w:t>
            </w:r>
            <w:r w:rsidR="00A11B94">
              <w:rPr>
                <w:lang w:val="en-GB" w:eastAsia="ja-JP"/>
              </w:rPr>
              <w:t>to be defined for PDCCH-to-PSCCH/PSSCH.</w:t>
            </w:r>
          </w:p>
          <w:p w14:paraId="0548D1F7" w14:textId="77777777" w:rsidR="00A11B94" w:rsidRDefault="00A11B94" w:rsidP="00975003">
            <w:pPr>
              <w:rPr>
                <w:lang w:val="en-GB" w:eastAsia="ja-JP"/>
              </w:rPr>
            </w:pPr>
            <w:r>
              <w:rPr>
                <w:lang w:val="en-GB" w:eastAsia="ja-JP"/>
              </w:rPr>
              <w:t>For the PSFCH-to-PUCCH in our understanding it may be dominated by PSFCH processing, which is the same for both Mode-1 and Mode-2. In Mode-2 this parameter would impact system performance, thus no need to have different capability between UEs.</w:t>
            </w:r>
          </w:p>
          <w:p w14:paraId="3693A756" w14:textId="5F067E39" w:rsidR="005A3B37" w:rsidRDefault="00A11B94" w:rsidP="00975003">
            <w:pPr>
              <w:rPr>
                <w:lang w:val="en-GB" w:eastAsia="ja-JP"/>
              </w:rPr>
            </w:pPr>
            <w:r>
              <w:rPr>
                <w:lang w:val="en-GB" w:eastAsia="ja-JP"/>
              </w:rPr>
              <w:t xml:space="preserve">For </w:t>
            </w:r>
            <w:r>
              <w:rPr>
                <w:lang w:val="en-GB" w:eastAsia="ja-JP"/>
              </w:rPr>
              <w:t>PDCCH-to-PSCCH/PSSCH</w:t>
            </w:r>
            <w:r>
              <w:rPr>
                <w:lang w:val="en-GB" w:eastAsia="ja-JP"/>
              </w:rPr>
              <w:t>, we consider the value very similar to UL N2, which has two different capabilities. It is straightforward to reuse these numbers in SL and provide possibility for faster dynamic SL scheduling with Cap#2.</w:t>
            </w:r>
          </w:p>
        </w:tc>
      </w:tr>
      <w:tr w:rsidR="005A3B37" w14:paraId="31CBF020" w14:textId="77777777" w:rsidTr="00975003">
        <w:tc>
          <w:tcPr>
            <w:tcW w:w="1189" w:type="dxa"/>
          </w:tcPr>
          <w:p w14:paraId="38174D34" w14:textId="77777777" w:rsidR="005A3B37" w:rsidRDefault="005A3B37" w:rsidP="00975003">
            <w:pPr>
              <w:rPr>
                <w:lang w:val="en-GB" w:eastAsia="ja-JP"/>
              </w:rPr>
            </w:pPr>
          </w:p>
        </w:tc>
        <w:tc>
          <w:tcPr>
            <w:tcW w:w="8445" w:type="dxa"/>
          </w:tcPr>
          <w:p w14:paraId="70F994BC" w14:textId="77777777" w:rsidR="005A3B37" w:rsidRDefault="005A3B37" w:rsidP="00975003">
            <w:pPr>
              <w:rPr>
                <w:lang w:val="en-GB" w:eastAsia="ja-JP"/>
              </w:rPr>
            </w:pPr>
          </w:p>
        </w:tc>
      </w:tr>
      <w:tr w:rsidR="005A3B37" w14:paraId="289C3105" w14:textId="77777777" w:rsidTr="00975003">
        <w:tc>
          <w:tcPr>
            <w:tcW w:w="1189" w:type="dxa"/>
          </w:tcPr>
          <w:p w14:paraId="77C7D0F7" w14:textId="77777777" w:rsidR="005A3B37" w:rsidRDefault="005A3B37" w:rsidP="00975003">
            <w:pPr>
              <w:rPr>
                <w:lang w:val="en-GB" w:eastAsia="ja-JP"/>
              </w:rPr>
            </w:pPr>
          </w:p>
        </w:tc>
        <w:tc>
          <w:tcPr>
            <w:tcW w:w="8445" w:type="dxa"/>
          </w:tcPr>
          <w:p w14:paraId="47A88FA9" w14:textId="77777777" w:rsidR="005A3B37" w:rsidRDefault="005A3B37" w:rsidP="00975003">
            <w:pPr>
              <w:rPr>
                <w:lang w:val="en-GB" w:eastAsia="ja-JP"/>
              </w:rPr>
            </w:pPr>
          </w:p>
        </w:tc>
      </w:tr>
    </w:tbl>
    <w:p w14:paraId="00AC506F" w14:textId="77777777" w:rsidR="00701AD5" w:rsidRDefault="00701AD5" w:rsidP="00D04EC5">
      <w:pPr>
        <w:rPr>
          <w:lang w:val="en-GB" w:eastAsia="ja-JP"/>
        </w:rPr>
      </w:pPr>
    </w:p>
    <w:p w14:paraId="67CD6C32" w14:textId="2CBFC282" w:rsidR="00CE46B8" w:rsidRPr="00CE46B8" w:rsidRDefault="00701AD5" w:rsidP="00CE46B8">
      <w:pPr>
        <w:pStyle w:val="Heading2"/>
      </w:pPr>
      <w:r w:rsidRPr="0062318A">
        <w:t>Q6</w:t>
      </w:r>
      <w:r w:rsidR="002C14CE" w:rsidRPr="0062318A">
        <w:t>.</w:t>
      </w:r>
      <w:r w:rsidR="00CE46B8">
        <w:tab/>
        <w:t>Processing times. With lower priority, values for PSFCH to UL report time: working assumption (on N) and FFS (on X) from RAN1#100bis-e.</w:t>
      </w:r>
    </w:p>
    <w:p w14:paraId="4C1ED84F" w14:textId="499E7E8D" w:rsidR="002C14CE" w:rsidRPr="0062318A" w:rsidRDefault="00EC7443" w:rsidP="00D4490A">
      <w:pPr>
        <w:jc w:val="both"/>
        <w:rPr>
          <w:b/>
          <w:bCs/>
          <w:lang w:val="en-GB" w:eastAsia="ja-JP"/>
        </w:rPr>
      </w:pPr>
      <w:r w:rsidRPr="0062318A">
        <w:rPr>
          <w:b/>
          <w:bCs/>
          <w:lang w:val="en-GB" w:eastAsia="ja-JP"/>
        </w:rPr>
        <w:t xml:space="preserve">Do you agree </w:t>
      </w:r>
      <w:r w:rsidR="0062318A" w:rsidRPr="0062318A">
        <w:rPr>
          <w:b/>
          <w:bCs/>
          <w:lang w:val="en-GB" w:eastAsia="ja-JP"/>
        </w:rPr>
        <w:t xml:space="preserve">to reuse the PUSCH preparation times </w:t>
      </w:r>
      <w:r w:rsidR="008E4D8A">
        <w:rPr>
          <w:b/>
          <w:bCs/>
          <w:lang w:val="en-GB" w:eastAsia="ja-JP"/>
        </w:rPr>
        <w:t xml:space="preserve">from TS 38.213 Section 6.4 (capability 1, Table 6.4-1) </w:t>
      </w:r>
      <w:r w:rsidR="0062318A" w:rsidRPr="0062318A">
        <w:rPr>
          <w:b/>
          <w:bCs/>
          <w:lang w:val="en-GB" w:eastAsia="ja-JP"/>
        </w:rPr>
        <w:t>for PSSCH preparation as in the following proposal.</w:t>
      </w:r>
    </w:p>
    <w:p w14:paraId="722E2011" w14:textId="51C9BE06" w:rsidR="00EC7443" w:rsidRDefault="00EC7443" w:rsidP="00D04EC5">
      <w:pPr>
        <w:rPr>
          <w:lang w:val="en-GB" w:eastAsia="ja-JP"/>
        </w:rPr>
      </w:pPr>
      <w:r w:rsidRPr="0062318A">
        <w:rPr>
          <w:highlight w:val="yellow"/>
          <w:lang w:val="en-GB" w:eastAsia="ja-JP"/>
        </w:rPr>
        <w:t>Proposal</w:t>
      </w:r>
      <w:r>
        <w:rPr>
          <w:lang w:val="en-GB" w:eastAsia="ja-JP"/>
        </w:rPr>
        <w:t>:</w:t>
      </w:r>
    </w:p>
    <w:p w14:paraId="66BA0D70" w14:textId="6992640C" w:rsidR="00EC7443" w:rsidRDefault="00EC7443" w:rsidP="00EC7443">
      <w:pPr>
        <w:pStyle w:val="ListParagraph"/>
        <w:numPr>
          <w:ilvl w:val="0"/>
          <w:numId w:val="41"/>
        </w:numPr>
        <w:rPr>
          <w:lang w:val="en-GB" w:eastAsia="ja-JP"/>
        </w:rPr>
      </w:pPr>
      <w:r>
        <w:rPr>
          <w:lang w:val="en-GB" w:eastAsia="ja-JP"/>
        </w:rPr>
        <w:t>For dynamic grant in Mode 1, a</w:t>
      </w:r>
      <w:r w:rsidRPr="00EC7443">
        <w:rPr>
          <w:lang w:val="en-GB" w:eastAsia="ja-JP"/>
        </w:rPr>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rPr>
          <w:lang w:val="en-GB" w:eastAsia="ja-JP"/>
        </w:rPr>
        <w:t xml:space="preserve"> after the end of the </w:t>
      </w:r>
      <w:r>
        <w:rPr>
          <w:lang w:val="en-GB" w:eastAsia="ja-JP"/>
        </w:rPr>
        <w:t>scheduling PDCCH</w:t>
      </w:r>
      <w:r w:rsidRPr="00EC7443">
        <w:rPr>
          <w:lang w:val="en-GB" w:eastAsia="ja-JP"/>
        </w:rPr>
        <w:t>.</w:t>
      </w:r>
    </w:p>
    <w:p w14:paraId="10B27AA8" w14:textId="77777777" w:rsidR="00EC7443" w:rsidRPr="00EC7443" w:rsidRDefault="00AA298A" w:rsidP="00EC7443">
      <w:pPr>
        <w:pStyle w:val="ListParagraph"/>
        <w:numPr>
          <w:ilvl w:val="1"/>
          <w:numId w:val="41"/>
        </w:numPr>
        <w:rPr>
          <w:lang w:val="en-GB" w:eastAsia="ja-JP"/>
        </w:r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1FD35C81" w14:textId="2D86235C" w:rsidR="0062318A" w:rsidRPr="0062318A" w:rsidRDefault="00AA298A" w:rsidP="00D4490A">
      <w:pPr>
        <w:pStyle w:val="ListParagraph"/>
        <w:numPr>
          <w:ilvl w:val="2"/>
          <w:numId w:val="41"/>
        </w:numPr>
        <w:rPr>
          <w:lang w:val="en-GB" w:eastAsia="ja-JP"/>
        </w:r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sSub>
          <m:sSubPr>
            <m:ctrlPr>
              <w:rPr>
                <w:rFonts w:ascii="Cambria Math" w:hAnsi="Cambria Math"/>
                <w:i/>
                <w:color w:val="000000"/>
              </w:rPr>
            </m:ctrlPr>
          </m:sSubPr>
          <m:e>
            <m:r>
              <w:rPr>
                <w:rFonts w:ascii="Cambria Math" w:hAnsi="Cambria Math"/>
                <w:color w:val="000000"/>
              </w:rPr>
              <m:t>μ=μ</m:t>
            </m:r>
          </m:e>
          <m:sub>
            <m:r>
              <w:rPr>
                <w:rFonts w:ascii="Cambria Math" w:hAnsi="Cambria Math"/>
                <w:color w:val="000000"/>
              </w:rPr>
              <m:t>SL</m:t>
            </m:r>
          </m:sub>
        </m:sSub>
      </m:oMath>
      <w:r w:rsidR="0062318A">
        <w:rPr>
          <w:color w:val="000000"/>
        </w:rPr>
        <w:t xml:space="preserve"> equal to 0, 1, 2, and 3, respectively.</w:t>
      </w:r>
    </w:p>
    <w:p w14:paraId="0E075458" w14:textId="6F3802B0" w:rsidR="0062318A" w:rsidRPr="00EC7443" w:rsidRDefault="0062318A" w:rsidP="00D4490A">
      <w:pPr>
        <w:pStyle w:val="ListParagraph"/>
        <w:numPr>
          <w:ilvl w:val="3"/>
          <w:numId w:val="41"/>
        </w:numPr>
        <w:rPr>
          <w:lang w:val="en-GB" w:eastAsia="ja-JP"/>
        </w:rPr>
      </w:pPr>
      <w:r>
        <w:rPr>
          <w:lang w:val="en-GB" w:eastAsia="ja-JP"/>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21D2F638" w14:textId="0225B642" w:rsidR="00AF74B9" w:rsidRDefault="00AA298A" w:rsidP="00D4490A">
      <w:pPr>
        <w:numPr>
          <w:ilvl w:val="2"/>
          <w:numId w:val="41"/>
        </w:numPr>
        <w:spacing w:after="0" w:line="240" w:lineRule="auto"/>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rFonts w:eastAsiaTheme="minorEastAsia"/>
          <w:color w:val="000000"/>
        </w:rPr>
        <w:t xml:space="preserve"> = 1</w:t>
      </w:r>
    </w:p>
    <w:p w14:paraId="6D47466A" w14:textId="386D41A0" w:rsidR="00EC7443" w:rsidRPr="00EC7443" w:rsidRDefault="00EC7443" w:rsidP="00D4490A">
      <w:pPr>
        <w:pStyle w:val="ListParagraph"/>
        <w:numPr>
          <w:ilvl w:val="2"/>
          <w:numId w:val="41"/>
        </w:numPr>
        <w:rPr>
          <w:lang w:val="en-GB" w:eastAsia="ja-JP"/>
        </w:r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189"/>
        <w:gridCol w:w="8445"/>
      </w:tblGrid>
      <w:tr w:rsidR="005A3B37" w14:paraId="11B361F8" w14:textId="77777777" w:rsidTr="00975003">
        <w:tc>
          <w:tcPr>
            <w:tcW w:w="1189" w:type="dxa"/>
            <w:shd w:val="clear" w:color="auto" w:fill="E7E6E6" w:themeFill="background2"/>
          </w:tcPr>
          <w:p w14:paraId="3E99BBF8" w14:textId="77777777" w:rsidR="005A3B37" w:rsidRPr="00D04EC5" w:rsidRDefault="005A3B37" w:rsidP="00975003">
            <w:pPr>
              <w:jc w:val="center"/>
              <w:rPr>
                <w:b/>
                <w:bCs/>
                <w:lang w:val="en-GB" w:eastAsia="ja-JP"/>
              </w:rPr>
            </w:pPr>
            <w:r w:rsidRPr="00D04EC5">
              <w:rPr>
                <w:b/>
                <w:bCs/>
                <w:lang w:val="en-GB" w:eastAsia="ja-JP"/>
              </w:rPr>
              <w:t>Company</w:t>
            </w:r>
          </w:p>
        </w:tc>
        <w:tc>
          <w:tcPr>
            <w:tcW w:w="8445" w:type="dxa"/>
            <w:shd w:val="clear" w:color="auto" w:fill="E7E6E6" w:themeFill="background2"/>
          </w:tcPr>
          <w:p w14:paraId="2ACCE67F" w14:textId="77777777" w:rsidR="005A3B37" w:rsidRPr="00D04EC5" w:rsidRDefault="005A3B37" w:rsidP="00975003">
            <w:pPr>
              <w:jc w:val="center"/>
              <w:rPr>
                <w:b/>
                <w:bCs/>
                <w:lang w:val="en-GB" w:eastAsia="ja-JP"/>
              </w:rPr>
            </w:pPr>
            <w:r w:rsidRPr="00D04EC5">
              <w:rPr>
                <w:b/>
                <w:bCs/>
                <w:lang w:val="en-GB" w:eastAsia="ja-JP"/>
              </w:rPr>
              <w:t>Views</w:t>
            </w:r>
          </w:p>
        </w:tc>
      </w:tr>
      <w:tr w:rsidR="005A3B37" w14:paraId="78792590" w14:textId="77777777" w:rsidTr="00975003">
        <w:tc>
          <w:tcPr>
            <w:tcW w:w="1189" w:type="dxa"/>
          </w:tcPr>
          <w:p w14:paraId="29C213AE" w14:textId="69239E10" w:rsidR="005A3B37" w:rsidRDefault="0077388C" w:rsidP="00975003">
            <w:pPr>
              <w:rPr>
                <w:lang w:val="en-GB" w:eastAsia="ja-JP"/>
              </w:rPr>
            </w:pPr>
            <w:r>
              <w:rPr>
                <w:lang w:val="en-GB" w:eastAsia="ja-JP"/>
              </w:rPr>
              <w:t>Ericsson</w:t>
            </w:r>
          </w:p>
        </w:tc>
        <w:tc>
          <w:tcPr>
            <w:tcW w:w="8445" w:type="dxa"/>
          </w:tcPr>
          <w:p w14:paraId="1579B09D" w14:textId="6D94C307" w:rsidR="005A3B37" w:rsidRDefault="0077388C" w:rsidP="00975003">
            <w:pPr>
              <w:rPr>
                <w:lang w:val="en-GB" w:eastAsia="ja-JP"/>
              </w:rPr>
            </w:pPr>
            <w:r>
              <w:rPr>
                <w:lang w:val="en-GB" w:eastAsia="ja-JP"/>
              </w:rPr>
              <w:t>Agree</w:t>
            </w:r>
          </w:p>
        </w:tc>
      </w:tr>
      <w:tr w:rsidR="005A3B37" w14:paraId="2E0DBAC7" w14:textId="77777777" w:rsidTr="00975003">
        <w:tc>
          <w:tcPr>
            <w:tcW w:w="1189" w:type="dxa"/>
          </w:tcPr>
          <w:p w14:paraId="5AA2FDCC" w14:textId="45C1A586" w:rsidR="005A3B37" w:rsidRDefault="00A11B94" w:rsidP="00975003">
            <w:pPr>
              <w:rPr>
                <w:lang w:val="en-GB" w:eastAsia="ja-JP"/>
              </w:rPr>
            </w:pPr>
            <w:r>
              <w:rPr>
                <w:lang w:val="en-GB" w:eastAsia="ja-JP"/>
              </w:rPr>
              <w:t>Intel</w:t>
            </w:r>
          </w:p>
        </w:tc>
        <w:tc>
          <w:tcPr>
            <w:tcW w:w="8445" w:type="dxa"/>
          </w:tcPr>
          <w:p w14:paraId="5EBD821E" w14:textId="77777777" w:rsidR="005A3B37" w:rsidRDefault="000E7835" w:rsidP="00975003">
            <w:pPr>
              <w:rPr>
                <w:lang w:val="en-GB" w:eastAsia="ja-JP"/>
              </w:rPr>
            </w:pPr>
            <w:r>
              <w:rPr>
                <w:lang w:val="en-GB" w:eastAsia="ja-JP"/>
              </w:rPr>
              <w:t>Given our answer in Q5, in addition to the provided N2 values we would like to support another capability which is 5, 5.5, 11 (for FR1) for 15, 30, 60 kHz respectively.</w:t>
            </w:r>
          </w:p>
          <w:p w14:paraId="39EF57F2" w14:textId="7D036E72" w:rsidR="000E7835" w:rsidRPr="00F332A9" w:rsidRDefault="00F332A9" w:rsidP="00975003">
            <w:pPr>
              <w:rPr>
                <w:rFonts w:ascii="Cambria Math" w:hAnsi="Cambria Math"/>
                <w:i/>
                <w:lang w:val="en-GB" w:eastAsia="ja-JP"/>
              </w:rPr>
            </w:pPr>
            <w:r>
              <w:rPr>
                <w:lang w:val="en-GB" w:eastAsia="ja-JP"/>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rFonts w:eastAsiaTheme="minorEastAsia"/>
                <w:color w:val="000000"/>
              </w:rPr>
              <w:t>, we see the motivation to set it at least to 1, since the first symbol can contain shared channel. However, it may need to be further increased e.g. by a 1-2 symbols in order to accommodate preparation of both PSCCH and PSSCH.</w:t>
            </w:r>
          </w:p>
        </w:tc>
      </w:tr>
      <w:tr w:rsidR="005A3B37" w14:paraId="20E814D9" w14:textId="77777777" w:rsidTr="00975003">
        <w:tc>
          <w:tcPr>
            <w:tcW w:w="1189" w:type="dxa"/>
          </w:tcPr>
          <w:p w14:paraId="5FC3324B" w14:textId="77777777" w:rsidR="005A3B37" w:rsidRDefault="005A3B37" w:rsidP="00975003">
            <w:pPr>
              <w:rPr>
                <w:lang w:val="en-GB" w:eastAsia="ja-JP"/>
              </w:rPr>
            </w:pPr>
          </w:p>
        </w:tc>
        <w:tc>
          <w:tcPr>
            <w:tcW w:w="8445" w:type="dxa"/>
          </w:tcPr>
          <w:p w14:paraId="5E6D4475" w14:textId="77777777" w:rsidR="005A3B37" w:rsidRDefault="005A3B37" w:rsidP="00975003">
            <w:pPr>
              <w:rPr>
                <w:lang w:val="en-GB" w:eastAsia="ja-JP"/>
              </w:rPr>
            </w:pPr>
          </w:p>
        </w:tc>
      </w:tr>
      <w:tr w:rsidR="005A3B37" w14:paraId="14BC2745" w14:textId="77777777" w:rsidTr="00975003">
        <w:tc>
          <w:tcPr>
            <w:tcW w:w="1189" w:type="dxa"/>
          </w:tcPr>
          <w:p w14:paraId="0274823B" w14:textId="77777777" w:rsidR="005A3B37" w:rsidRDefault="005A3B37" w:rsidP="00975003">
            <w:pPr>
              <w:rPr>
                <w:lang w:val="en-GB" w:eastAsia="ja-JP"/>
              </w:rPr>
            </w:pPr>
          </w:p>
        </w:tc>
        <w:tc>
          <w:tcPr>
            <w:tcW w:w="8445" w:type="dxa"/>
          </w:tcPr>
          <w:p w14:paraId="4AB4CA27" w14:textId="77777777" w:rsidR="005A3B37" w:rsidRDefault="005A3B37" w:rsidP="00975003">
            <w:pPr>
              <w:rPr>
                <w:lang w:val="en-GB" w:eastAsia="ja-JP"/>
              </w:rPr>
            </w:pPr>
          </w:p>
        </w:tc>
      </w:tr>
    </w:tbl>
    <w:p w14:paraId="0A96E4BB" w14:textId="77777777" w:rsidR="008E4D8A" w:rsidRDefault="008E4D8A" w:rsidP="00D04EC5">
      <w:pPr>
        <w:rPr>
          <w:b/>
          <w:bCs/>
          <w:lang w:val="en-GB" w:eastAsia="ja-JP"/>
        </w:rPr>
      </w:pPr>
    </w:p>
    <w:p w14:paraId="75CBA07E" w14:textId="72D36291" w:rsidR="00CE46B8" w:rsidRPr="00CE46B8" w:rsidRDefault="002C14CE" w:rsidP="00CE46B8">
      <w:pPr>
        <w:pStyle w:val="Heading2"/>
      </w:pPr>
      <w:r w:rsidRPr="00FE7D88">
        <w:t>Q7.</w:t>
      </w:r>
      <w:r w:rsidR="00CE46B8">
        <w:tab/>
      </w:r>
      <w:r w:rsidR="00CE46B8" w:rsidRPr="00CE46B8">
        <w:t>Processing times</w:t>
      </w:r>
      <w:r w:rsidR="00CE46B8">
        <w:t xml:space="preserve">. </w:t>
      </w:r>
      <w:r w:rsidR="00CE46B8" w:rsidRPr="00CE46B8">
        <w:t>With lower priority, values for PSCCH/PSSCH preparation time.</w:t>
      </w:r>
    </w:p>
    <w:p w14:paraId="7FC60194" w14:textId="0F4237DA" w:rsidR="00701AD5" w:rsidRPr="00FE7D88" w:rsidRDefault="002C14CE" w:rsidP="00D04EC5">
      <w:pPr>
        <w:rPr>
          <w:b/>
          <w:bCs/>
          <w:lang w:val="en-GB" w:eastAsia="ja-JP"/>
        </w:rPr>
      </w:pPr>
      <w:r w:rsidRPr="00FE7D88">
        <w:rPr>
          <w:b/>
          <w:bCs/>
          <w:lang w:val="en-GB" w:eastAsia="ja-JP"/>
        </w:rPr>
        <w:t>Do you agree on confirming the working assumption</w:t>
      </w:r>
      <w:r w:rsidR="00701AD5" w:rsidRPr="00FE7D88">
        <w:rPr>
          <w:b/>
          <w:bCs/>
          <w:lang w:val="en-GB" w:eastAsia="ja-JP"/>
        </w:rPr>
        <w:t xml:space="preserve"> </w:t>
      </w:r>
      <w:r w:rsidRPr="00FE7D88">
        <w:rPr>
          <w:b/>
          <w:bCs/>
          <w:lang w:val="en-GB" w:eastAsia="ja-JP"/>
        </w:rPr>
        <w:t>below? What should the value of X be and why?</w:t>
      </w:r>
    </w:p>
    <w:p w14:paraId="56DA855C" w14:textId="77777777" w:rsidR="002C14CE" w:rsidRPr="006871FE" w:rsidRDefault="002C14CE" w:rsidP="002C14CE">
      <w:pPr>
        <w:rPr>
          <w:rFonts w:ascii="Calibri" w:hAnsi="Calibri"/>
          <w:szCs w:val="20"/>
          <w:highlight w:val="green"/>
          <w:lang w:eastAsia="ja-JP"/>
        </w:rPr>
      </w:pPr>
      <w:r w:rsidRPr="006871FE">
        <w:rPr>
          <w:szCs w:val="20"/>
          <w:highlight w:val="green"/>
          <w:lang w:eastAsia="ja-JP"/>
        </w:rPr>
        <w:t>Agreements:</w:t>
      </w:r>
    </w:p>
    <w:p w14:paraId="183AFB62" w14:textId="77777777" w:rsidR="002C14CE" w:rsidRPr="006871FE" w:rsidRDefault="002C14CE" w:rsidP="002C14CE">
      <w:pPr>
        <w:numPr>
          <w:ilvl w:val="0"/>
          <w:numId w:val="31"/>
        </w:numPr>
        <w:spacing w:after="0" w:line="240" w:lineRule="auto"/>
        <w:rPr>
          <w:szCs w:val="20"/>
          <w:lang w:eastAsia="zh-CN"/>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29CA93BA" w14:textId="77777777" w:rsidR="002C14CE" w:rsidRPr="006871FE" w:rsidRDefault="002C14CE" w:rsidP="002C14CE">
      <w:pPr>
        <w:numPr>
          <w:ilvl w:val="1"/>
          <w:numId w:val="31"/>
        </w:numPr>
        <w:spacing w:after="0" w:line="240" w:lineRule="auto"/>
        <w:rPr>
          <w:szCs w:val="20"/>
        </w:rPr>
      </w:pPr>
      <w:r w:rsidRPr="006871FE">
        <w:rPr>
          <w:szCs w:val="20"/>
        </w:rPr>
        <w:t>This includes the effect of time advance.</w:t>
      </w:r>
    </w:p>
    <w:p w14:paraId="5B921817" w14:textId="77777777" w:rsidR="002C14CE" w:rsidRPr="006871FE" w:rsidRDefault="002C14CE" w:rsidP="002C14CE">
      <w:pPr>
        <w:numPr>
          <w:ilvl w:val="1"/>
          <w:numId w:val="31"/>
        </w:numPr>
        <w:spacing w:after="0" w:line="240" w:lineRule="auto"/>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0EB31C2D" w14:textId="77777777" w:rsidR="002C14CE" w:rsidRPr="006871FE" w:rsidRDefault="002C14CE" w:rsidP="002C14CE">
      <w:pPr>
        <w:numPr>
          <w:ilvl w:val="2"/>
          <w:numId w:val="31"/>
        </w:numPr>
        <w:spacing w:after="0" w:line="240" w:lineRule="auto"/>
        <w:rPr>
          <w:szCs w:val="20"/>
        </w:rPr>
      </w:pPr>
      <w:r w:rsidRPr="00FA65DF">
        <w:rPr>
          <w:szCs w:val="20"/>
          <w:highlight w:val="darkYellow"/>
        </w:rPr>
        <w:lastRenderedPageBreak/>
        <w:t>Working assumption</w:t>
      </w:r>
      <w:r w:rsidRPr="006871FE">
        <w:rPr>
          <w:szCs w:val="20"/>
        </w:rPr>
        <w:t>: N is 14, 18, 28 and 32 corresponds to the SCS configuration μ of 0, 1, 2 and 3, μ = min(μ_SL, μ_UL)</w:t>
      </w:r>
    </w:p>
    <w:p w14:paraId="084C9A75" w14:textId="77777777" w:rsidR="002C14CE" w:rsidRPr="006871FE" w:rsidRDefault="002C14CE" w:rsidP="002C14CE">
      <w:pPr>
        <w:numPr>
          <w:ilvl w:val="2"/>
          <w:numId w:val="31"/>
        </w:numPr>
        <w:spacing w:after="0" w:line="240" w:lineRule="auto"/>
        <w:rPr>
          <w:szCs w:val="20"/>
        </w:rPr>
      </w:pPr>
      <w:r w:rsidRPr="006871FE">
        <w:rPr>
          <w:szCs w:val="20"/>
        </w:rPr>
        <w:t>k = T_s / T_c (parameters as defined in 38.211)</w:t>
      </w:r>
    </w:p>
    <w:p w14:paraId="7DCE1F24" w14:textId="19998573" w:rsidR="002C14CE" w:rsidRPr="002C14CE" w:rsidRDefault="002C14CE" w:rsidP="002C14CE">
      <w:pPr>
        <w:numPr>
          <w:ilvl w:val="2"/>
          <w:numId w:val="31"/>
        </w:numPr>
        <w:spacing w:after="0" w:line="240" w:lineRule="auto"/>
        <w:rPr>
          <w:strike/>
          <w:szCs w:val="20"/>
        </w:rPr>
      </w:pPr>
      <w:r w:rsidRPr="006871FE">
        <w:rPr>
          <w:szCs w:val="20"/>
        </w:rPr>
        <w:t>FFS X (including the possibility of value 0)</w:t>
      </w:r>
    </w:p>
    <w:p w14:paraId="31A14B58" w14:textId="77777777" w:rsidR="002C14CE" w:rsidRPr="002D2D96" w:rsidRDefault="002C14CE" w:rsidP="002C14CE">
      <w:pPr>
        <w:spacing w:after="0" w:line="240" w:lineRule="auto"/>
        <w:ind w:left="2160"/>
        <w:rPr>
          <w:strike/>
          <w:szCs w:val="20"/>
        </w:rPr>
      </w:pPr>
    </w:p>
    <w:tbl>
      <w:tblPr>
        <w:tblStyle w:val="TableGrid"/>
        <w:tblW w:w="9634" w:type="dxa"/>
        <w:tblLook w:val="04A0" w:firstRow="1" w:lastRow="0" w:firstColumn="1" w:lastColumn="0" w:noHBand="0" w:noVBand="1"/>
      </w:tblPr>
      <w:tblGrid>
        <w:gridCol w:w="1189"/>
        <w:gridCol w:w="8445"/>
      </w:tblGrid>
      <w:tr w:rsidR="005A3B37" w14:paraId="25CED92D" w14:textId="77777777" w:rsidTr="00975003">
        <w:tc>
          <w:tcPr>
            <w:tcW w:w="1189" w:type="dxa"/>
            <w:shd w:val="clear" w:color="auto" w:fill="E7E6E6" w:themeFill="background2"/>
          </w:tcPr>
          <w:p w14:paraId="11781071" w14:textId="77777777" w:rsidR="005A3B37" w:rsidRPr="00D04EC5" w:rsidRDefault="005A3B37" w:rsidP="00975003">
            <w:pPr>
              <w:jc w:val="center"/>
              <w:rPr>
                <w:b/>
                <w:bCs/>
                <w:lang w:val="en-GB" w:eastAsia="ja-JP"/>
              </w:rPr>
            </w:pPr>
            <w:r w:rsidRPr="00D04EC5">
              <w:rPr>
                <w:b/>
                <w:bCs/>
                <w:lang w:val="en-GB" w:eastAsia="ja-JP"/>
              </w:rPr>
              <w:t>Company</w:t>
            </w:r>
          </w:p>
        </w:tc>
        <w:tc>
          <w:tcPr>
            <w:tcW w:w="8445" w:type="dxa"/>
            <w:shd w:val="clear" w:color="auto" w:fill="E7E6E6" w:themeFill="background2"/>
          </w:tcPr>
          <w:p w14:paraId="461B711A" w14:textId="77777777" w:rsidR="005A3B37" w:rsidRPr="00D04EC5" w:rsidRDefault="005A3B37" w:rsidP="00975003">
            <w:pPr>
              <w:jc w:val="center"/>
              <w:rPr>
                <w:b/>
                <w:bCs/>
                <w:lang w:val="en-GB" w:eastAsia="ja-JP"/>
              </w:rPr>
            </w:pPr>
            <w:r w:rsidRPr="00D04EC5">
              <w:rPr>
                <w:b/>
                <w:bCs/>
                <w:lang w:val="en-GB" w:eastAsia="ja-JP"/>
              </w:rPr>
              <w:t>Views</w:t>
            </w:r>
          </w:p>
        </w:tc>
      </w:tr>
      <w:tr w:rsidR="005A3B37" w14:paraId="264123E7" w14:textId="77777777" w:rsidTr="00975003">
        <w:tc>
          <w:tcPr>
            <w:tcW w:w="1189" w:type="dxa"/>
          </w:tcPr>
          <w:p w14:paraId="0B6E47F3" w14:textId="3AF31298" w:rsidR="005A3B37" w:rsidRDefault="0077388C" w:rsidP="00975003">
            <w:pPr>
              <w:rPr>
                <w:lang w:val="en-GB" w:eastAsia="ja-JP"/>
              </w:rPr>
            </w:pPr>
            <w:r>
              <w:rPr>
                <w:lang w:val="en-GB" w:eastAsia="ja-JP"/>
              </w:rPr>
              <w:t>Ericsson</w:t>
            </w:r>
          </w:p>
        </w:tc>
        <w:tc>
          <w:tcPr>
            <w:tcW w:w="8445" w:type="dxa"/>
          </w:tcPr>
          <w:p w14:paraId="1EF53C87" w14:textId="77777777" w:rsidR="005A3B37" w:rsidRDefault="0077388C" w:rsidP="00975003">
            <w:pPr>
              <w:rPr>
                <w:lang w:val="en-GB" w:eastAsia="ja-JP"/>
              </w:rPr>
            </w:pPr>
            <w:r>
              <w:rPr>
                <w:lang w:val="en-GB" w:eastAsia="ja-JP"/>
              </w:rPr>
              <w:t>The WA can be confirmed</w:t>
            </w:r>
          </w:p>
          <w:p w14:paraId="20CAFC63" w14:textId="62F7D67A" w:rsidR="0077388C" w:rsidRDefault="0077388C" w:rsidP="00975003">
            <w:pPr>
              <w:rPr>
                <w:lang w:val="en-GB" w:eastAsia="ja-JP"/>
              </w:rPr>
            </w:pPr>
            <w:r>
              <w:rPr>
                <w:lang w:val="en-GB" w:eastAsia="ja-JP"/>
              </w:rPr>
              <w:t xml:space="preserve">X=0. X must be a fixed value so that the gNB and the UE have a common understanding of the minimum gap. </w:t>
            </w:r>
          </w:p>
        </w:tc>
      </w:tr>
      <w:tr w:rsidR="005A3B37" w14:paraId="62DE65F0" w14:textId="77777777" w:rsidTr="00975003">
        <w:tc>
          <w:tcPr>
            <w:tcW w:w="1189" w:type="dxa"/>
          </w:tcPr>
          <w:p w14:paraId="2C0B28C4" w14:textId="4D1746B3" w:rsidR="005A3B37" w:rsidRDefault="00F332A9" w:rsidP="00975003">
            <w:pPr>
              <w:rPr>
                <w:lang w:val="en-GB" w:eastAsia="ja-JP"/>
              </w:rPr>
            </w:pPr>
            <w:r>
              <w:rPr>
                <w:lang w:val="en-GB" w:eastAsia="ja-JP"/>
              </w:rPr>
              <w:t>Intel</w:t>
            </w:r>
          </w:p>
        </w:tc>
        <w:tc>
          <w:tcPr>
            <w:tcW w:w="8445" w:type="dxa"/>
          </w:tcPr>
          <w:p w14:paraId="4327A47F" w14:textId="03518135" w:rsidR="005A3B37" w:rsidRDefault="00F332A9" w:rsidP="00975003">
            <w:pPr>
              <w:rPr>
                <w:lang w:val="en-GB" w:eastAsia="ja-JP"/>
              </w:rPr>
            </w:pPr>
            <w:r>
              <w:rPr>
                <w:lang w:val="en-GB" w:eastAsia="ja-JP"/>
              </w:rPr>
              <w:t>Agree to let X = 0</w:t>
            </w:r>
          </w:p>
        </w:tc>
      </w:tr>
      <w:tr w:rsidR="005A3B37" w14:paraId="43F3CE17" w14:textId="77777777" w:rsidTr="00975003">
        <w:tc>
          <w:tcPr>
            <w:tcW w:w="1189" w:type="dxa"/>
          </w:tcPr>
          <w:p w14:paraId="08F9A52C" w14:textId="77777777" w:rsidR="005A3B37" w:rsidRDefault="005A3B37" w:rsidP="00975003">
            <w:pPr>
              <w:rPr>
                <w:lang w:val="en-GB" w:eastAsia="ja-JP"/>
              </w:rPr>
            </w:pPr>
          </w:p>
        </w:tc>
        <w:tc>
          <w:tcPr>
            <w:tcW w:w="8445" w:type="dxa"/>
          </w:tcPr>
          <w:p w14:paraId="6C423B8F" w14:textId="77777777" w:rsidR="005A3B37" w:rsidRDefault="005A3B37" w:rsidP="00975003">
            <w:pPr>
              <w:rPr>
                <w:lang w:val="en-GB" w:eastAsia="ja-JP"/>
              </w:rPr>
            </w:pPr>
          </w:p>
        </w:tc>
      </w:tr>
      <w:tr w:rsidR="005A3B37" w14:paraId="0F7DE08A" w14:textId="77777777" w:rsidTr="00975003">
        <w:tc>
          <w:tcPr>
            <w:tcW w:w="1189" w:type="dxa"/>
          </w:tcPr>
          <w:p w14:paraId="7B362CFB" w14:textId="77777777" w:rsidR="005A3B37" w:rsidRDefault="005A3B37" w:rsidP="00975003">
            <w:pPr>
              <w:rPr>
                <w:lang w:val="en-GB" w:eastAsia="ja-JP"/>
              </w:rPr>
            </w:pPr>
          </w:p>
        </w:tc>
        <w:tc>
          <w:tcPr>
            <w:tcW w:w="8445" w:type="dxa"/>
          </w:tcPr>
          <w:p w14:paraId="68689736" w14:textId="77777777" w:rsidR="005A3B37" w:rsidRDefault="005A3B37" w:rsidP="00975003">
            <w:pPr>
              <w:rPr>
                <w:lang w:val="en-GB" w:eastAsia="ja-JP"/>
              </w:rPr>
            </w:pPr>
          </w:p>
        </w:tc>
      </w:tr>
    </w:tbl>
    <w:p w14:paraId="2D37F5B9" w14:textId="18659749" w:rsidR="002C14CE" w:rsidRDefault="002C14CE" w:rsidP="00D04EC5">
      <w:pPr>
        <w:rPr>
          <w:lang w:val="en-GB" w:eastAsia="ja-JP"/>
        </w:rPr>
      </w:pPr>
    </w:p>
    <w:p w14:paraId="39E0E60C" w14:textId="3AFEC5F2"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0C699627" w14:textId="06F9D805" w:rsidR="0094181F" w:rsidRPr="00AF61CE" w:rsidRDefault="0094181F" w:rsidP="00D04EC5">
      <w:pPr>
        <w:rPr>
          <w:b/>
          <w:bCs/>
          <w:lang w:val="en-GB" w:eastAsia="ja-JP"/>
        </w:rPr>
      </w:pPr>
      <w:r w:rsidRPr="00AF61CE">
        <w:rPr>
          <w:b/>
          <w:bCs/>
          <w:lang w:val="en-GB" w:eastAsia="ja-JP"/>
        </w:rPr>
        <w:t>Regarding the first</w:t>
      </w:r>
      <w:r w:rsidRPr="00AF61CE">
        <w:rPr>
          <w:b/>
          <w:bCs/>
        </w:rPr>
        <w:t xml:space="preserve"> </w:t>
      </w:r>
      <w:r w:rsidR="008704D3" w:rsidRPr="00AF61CE">
        <w:rPr>
          <w:b/>
          <w:bCs/>
        </w:rPr>
        <w:t xml:space="preserve">action in the </w:t>
      </w:r>
      <w:r w:rsidRPr="00AF61CE">
        <w:rPr>
          <w:b/>
          <w:bCs/>
          <w:lang w:val="en-GB" w:eastAsia="ja-JP"/>
        </w:rPr>
        <w:t>LS from RAN2 in R1-2003256</w:t>
      </w:r>
      <w:r w:rsidR="00CD7B69">
        <w:rPr>
          <w:b/>
          <w:bCs/>
          <w:lang w:val="en-GB" w:eastAsia="ja-JP"/>
        </w:rPr>
        <w:t xml:space="preserve">, </w:t>
      </w:r>
      <w:r w:rsidR="008704D3" w:rsidRPr="00AF61CE">
        <w:rPr>
          <w:b/>
          <w:bCs/>
          <w:lang w:val="en-GB" w:eastAsia="ja-JP"/>
        </w:rPr>
        <w:t>do you agree with the following conclusion:</w:t>
      </w:r>
    </w:p>
    <w:p w14:paraId="1C780FB5" w14:textId="56444E75" w:rsidR="008704D3" w:rsidRDefault="008704D3" w:rsidP="00D04EC5">
      <w:pPr>
        <w:rPr>
          <w:lang w:val="en-GB" w:eastAsia="ja-JP"/>
        </w:rPr>
      </w:pPr>
      <w:r w:rsidRPr="00AF61CE">
        <w:rPr>
          <w:highlight w:val="yellow"/>
          <w:lang w:val="en-GB" w:eastAsia="ja-JP"/>
        </w:rPr>
        <w:t>Proposed conclusion</w:t>
      </w:r>
      <w:r w:rsidR="00AF61CE" w:rsidRPr="00AF61CE">
        <w:rPr>
          <w:highlight w:val="yellow"/>
          <w:lang w:val="en-GB" w:eastAsia="ja-JP"/>
        </w:rPr>
        <w:t>:</w:t>
      </w:r>
    </w:p>
    <w:p w14:paraId="56B3FD0D" w14:textId="5440FDB5" w:rsidR="008704D3" w:rsidRDefault="008704D3" w:rsidP="008704D3">
      <w:pPr>
        <w:pStyle w:val="ListParagraph"/>
        <w:numPr>
          <w:ilvl w:val="0"/>
          <w:numId w:val="36"/>
        </w:numPr>
        <w:rPr>
          <w:lang w:val="en-GB" w:eastAsia="ja-JP"/>
        </w:rPr>
      </w:pPr>
      <w:r>
        <w:rPr>
          <w:lang w:val="en-GB" w:eastAsia="ja-JP"/>
        </w:rPr>
        <w:t>RAN1 sees no problem in using the IIoT equation for HARQ process ID determination for NR sidelink with the following changes:</w:t>
      </w:r>
    </w:p>
    <w:p w14:paraId="58C5E581" w14:textId="16EE35F2" w:rsidR="008704D3" w:rsidRDefault="008704D3" w:rsidP="008704D3">
      <w:pPr>
        <w:pStyle w:val="ListParagraph"/>
        <w:numPr>
          <w:ilvl w:val="1"/>
          <w:numId w:val="36"/>
        </w:numPr>
        <w:rPr>
          <w:lang w:val="en-GB" w:eastAsia="ja-JP"/>
        </w:rPr>
      </w:pPr>
      <w:r>
        <w:rPr>
          <w:lang w:val="en-GB" w:eastAsia="ja-JP"/>
        </w:rPr>
        <w:t>CURRENT_symbol should be replaced by CURRENT_slot</w:t>
      </w:r>
    </w:p>
    <w:p w14:paraId="3AE7BE0D" w14:textId="63619FDF" w:rsidR="008704D3" w:rsidRPr="008704D3" w:rsidRDefault="008704D3" w:rsidP="008704D3">
      <w:pPr>
        <w:pStyle w:val="ListParagraph"/>
        <w:numPr>
          <w:ilvl w:val="1"/>
          <w:numId w:val="36"/>
        </w:numPr>
        <w:rPr>
          <w:lang w:val="en-GB" w:eastAsia="ja-JP"/>
        </w:rPr>
      </w:pPr>
      <w:r w:rsidRPr="008704D3">
        <w:rPr>
          <w:i/>
          <w:iCs/>
          <w:lang w:val="en-GB" w:eastAsia="ja-JP"/>
        </w:rPr>
        <w:t>periodicity</w:t>
      </w:r>
      <w:r>
        <w:rPr>
          <w:lang w:val="en-GB" w:eastAsia="ja-JP"/>
        </w:rPr>
        <w:t xml:space="preserve"> should be expressed in slots</w:t>
      </w:r>
    </w:p>
    <w:tbl>
      <w:tblPr>
        <w:tblStyle w:val="TableGrid"/>
        <w:tblW w:w="9634" w:type="dxa"/>
        <w:tblLook w:val="04A0" w:firstRow="1" w:lastRow="0" w:firstColumn="1" w:lastColumn="0" w:noHBand="0" w:noVBand="1"/>
      </w:tblPr>
      <w:tblGrid>
        <w:gridCol w:w="1189"/>
        <w:gridCol w:w="8445"/>
      </w:tblGrid>
      <w:tr w:rsidR="005A3B37" w14:paraId="671A06B6" w14:textId="77777777" w:rsidTr="00975003">
        <w:tc>
          <w:tcPr>
            <w:tcW w:w="1189" w:type="dxa"/>
            <w:shd w:val="clear" w:color="auto" w:fill="E7E6E6" w:themeFill="background2"/>
          </w:tcPr>
          <w:p w14:paraId="5FB86876" w14:textId="77777777" w:rsidR="005A3B37" w:rsidRPr="00D04EC5" w:rsidRDefault="005A3B37" w:rsidP="00975003">
            <w:pPr>
              <w:jc w:val="center"/>
              <w:rPr>
                <w:b/>
                <w:bCs/>
                <w:lang w:val="en-GB" w:eastAsia="ja-JP"/>
              </w:rPr>
            </w:pPr>
            <w:r w:rsidRPr="00D04EC5">
              <w:rPr>
                <w:b/>
                <w:bCs/>
                <w:lang w:val="en-GB" w:eastAsia="ja-JP"/>
              </w:rPr>
              <w:t>Company</w:t>
            </w:r>
          </w:p>
        </w:tc>
        <w:tc>
          <w:tcPr>
            <w:tcW w:w="8445" w:type="dxa"/>
            <w:shd w:val="clear" w:color="auto" w:fill="E7E6E6" w:themeFill="background2"/>
          </w:tcPr>
          <w:p w14:paraId="408C72B9" w14:textId="77777777" w:rsidR="005A3B37" w:rsidRPr="00D04EC5" w:rsidRDefault="005A3B37" w:rsidP="00975003">
            <w:pPr>
              <w:jc w:val="center"/>
              <w:rPr>
                <w:b/>
                <w:bCs/>
                <w:lang w:val="en-GB" w:eastAsia="ja-JP"/>
              </w:rPr>
            </w:pPr>
            <w:r w:rsidRPr="00D04EC5">
              <w:rPr>
                <w:b/>
                <w:bCs/>
                <w:lang w:val="en-GB" w:eastAsia="ja-JP"/>
              </w:rPr>
              <w:t>Views</w:t>
            </w:r>
          </w:p>
        </w:tc>
      </w:tr>
      <w:tr w:rsidR="005A3B37" w14:paraId="71B8F723" w14:textId="77777777" w:rsidTr="00975003">
        <w:tc>
          <w:tcPr>
            <w:tcW w:w="1189" w:type="dxa"/>
          </w:tcPr>
          <w:p w14:paraId="6C805659" w14:textId="7AE4398F" w:rsidR="005A3B37" w:rsidRDefault="0077388C" w:rsidP="00975003">
            <w:pPr>
              <w:rPr>
                <w:lang w:val="en-GB" w:eastAsia="ja-JP"/>
              </w:rPr>
            </w:pPr>
            <w:r>
              <w:rPr>
                <w:lang w:val="en-GB" w:eastAsia="ja-JP"/>
              </w:rPr>
              <w:t>Ericsson</w:t>
            </w:r>
          </w:p>
        </w:tc>
        <w:tc>
          <w:tcPr>
            <w:tcW w:w="8445" w:type="dxa"/>
          </w:tcPr>
          <w:p w14:paraId="127D7332" w14:textId="49F24104" w:rsidR="000758ED" w:rsidRDefault="000758ED" w:rsidP="000758ED">
            <w:pPr>
              <w:rPr>
                <w:lang w:val="en-GB" w:eastAsia="ja-JP"/>
              </w:rPr>
            </w:pPr>
            <w:r>
              <w:rPr>
                <w:lang w:val="en-GB" w:eastAsia="ja-JP"/>
              </w:rPr>
              <w:t xml:space="preserve">We think that the conclusion is fine. However, it is necessary to clarify that CURRENT_slot refers to the slot number using the indexing discussed in Q3. Without a virtual indexing, the </w:t>
            </w:r>
            <w:r w:rsidRPr="0077388C">
              <w:rPr>
                <w:lang w:val="en-GB" w:eastAsia="ja-JP"/>
              </w:rPr>
              <w:t xml:space="preserve">the asynchronous case </w:t>
            </w:r>
            <w:r>
              <w:rPr>
                <w:lang w:val="en-GB" w:eastAsia="ja-JP"/>
              </w:rPr>
              <w:t>where</w:t>
            </w:r>
            <w:r w:rsidRPr="0077388C">
              <w:rPr>
                <w:lang w:val="en-GB" w:eastAsia="ja-JP"/>
              </w:rPr>
              <w:t xml:space="preserve"> the gNB is not aware of the timing difference between Uu and SL</w:t>
            </w:r>
            <w:r>
              <w:rPr>
                <w:lang w:val="en-GB" w:eastAsia="ja-JP"/>
              </w:rPr>
              <w:t xml:space="preserve"> does not work.</w:t>
            </w:r>
          </w:p>
        </w:tc>
      </w:tr>
      <w:tr w:rsidR="005A3B37" w14:paraId="6E45B27D" w14:textId="77777777" w:rsidTr="00975003">
        <w:tc>
          <w:tcPr>
            <w:tcW w:w="1189" w:type="dxa"/>
          </w:tcPr>
          <w:p w14:paraId="5FEDFFD6" w14:textId="19AD6955" w:rsidR="005A3B37" w:rsidRDefault="00F332A9" w:rsidP="00975003">
            <w:pPr>
              <w:rPr>
                <w:lang w:val="en-GB" w:eastAsia="ja-JP"/>
              </w:rPr>
            </w:pPr>
            <w:r>
              <w:rPr>
                <w:lang w:val="en-GB" w:eastAsia="ja-JP"/>
              </w:rPr>
              <w:t>Intel</w:t>
            </w:r>
          </w:p>
        </w:tc>
        <w:tc>
          <w:tcPr>
            <w:tcW w:w="8445" w:type="dxa"/>
          </w:tcPr>
          <w:p w14:paraId="3B82FB3E" w14:textId="77777777" w:rsidR="005A3B37" w:rsidRDefault="00F332A9" w:rsidP="00975003">
            <w:pPr>
              <w:rPr>
                <w:lang w:val="en-GB" w:eastAsia="ja-JP"/>
              </w:rPr>
            </w:pPr>
            <w:r>
              <w:rPr>
                <w:lang w:val="en-GB" w:eastAsia="ja-JP"/>
              </w:rPr>
              <w:t xml:space="preserve">Agree with the principle of the formula, i.e. </w:t>
            </w:r>
            <w:r w:rsidRPr="00F332A9">
              <w:rPr>
                <w:lang w:val="en-GB" w:eastAsia="ja-JP"/>
              </w:rPr>
              <w:t>same HARQ ID for slots within a configured grant period, with modulo operation over the number of configured HARQ processes, plus a configuration specific ID offset</w:t>
            </w:r>
            <w:r>
              <w:rPr>
                <w:lang w:val="en-GB" w:eastAsia="ja-JP"/>
              </w:rPr>
              <w:t>.</w:t>
            </w:r>
          </w:p>
          <w:p w14:paraId="487C93FA" w14:textId="386792EF" w:rsidR="00F332A9" w:rsidRDefault="00F332A9" w:rsidP="00975003">
            <w:pPr>
              <w:rPr>
                <w:lang w:val="en-GB" w:eastAsia="ja-JP"/>
              </w:rPr>
            </w:pPr>
            <w:r>
              <w:rPr>
                <w:lang w:val="en-GB" w:eastAsia="ja-JP"/>
              </w:rPr>
              <w:t>However, the slot determination in Q2 and Q3 needs to be carefully considered, i.e. same approach should be used to determine the range of slots with a given HARQ ID</w:t>
            </w:r>
          </w:p>
        </w:tc>
      </w:tr>
      <w:tr w:rsidR="005A3B37" w14:paraId="5DC21BC8" w14:textId="77777777" w:rsidTr="00975003">
        <w:tc>
          <w:tcPr>
            <w:tcW w:w="1189" w:type="dxa"/>
          </w:tcPr>
          <w:p w14:paraId="02DD48FE" w14:textId="77777777" w:rsidR="005A3B37" w:rsidRDefault="005A3B37" w:rsidP="00975003">
            <w:pPr>
              <w:rPr>
                <w:lang w:val="en-GB" w:eastAsia="ja-JP"/>
              </w:rPr>
            </w:pPr>
          </w:p>
        </w:tc>
        <w:tc>
          <w:tcPr>
            <w:tcW w:w="8445" w:type="dxa"/>
          </w:tcPr>
          <w:p w14:paraId="7E45FB2E" w14:textId="77777777" w:rsidR="005A3B37" w:rsidRDefault="005A3B37" w:rsidP="00975003">
            <w:pPr>
              <w:rPr>
                <w:lang w:val="en-GB" w:eastAsia="ja-JP"/>
              </w:rPr>
            </w:pPr>
          </w:p>
        </w:tc>
      </w:tr>
      <w:tr w:rsidR="005A3B37" w14:paraId="3368BAF0" w14:textId="77777777" w:rsidTr="00975003">
        <w:tc>
          <w:tcPr>
            <w:tcW w:w="1189" w:type="dxa"/>
          </w:tcPr>
          <w:p w14:paraId="7AB0B32D" w14:textId="77777777" w:rsidR="005A3B37" w:rsidRDefault="005A3B37" w:rsidP="00975003">
            <w:pPr>
              <w:rPr>
                <w:lang w:val="en-GB" w:eastAsia="ja-JP"/>
              </w:rPr>
            </w:pPr>
          </w:p>
        </w:tc>
        <w:tc>
          <w:tcPr>
            <w:tcW w:w="8445" w:type="dxa"/>
          </w:tcPr>
          <w:p w14:paraId="67D6B849" w14:textId="77777777" w:rsidR="005A3B37" w:rsidRDefault="005A3B37" w:rsidP="00975003">
            <w:pPr>
              <w:rPr>
                <w:lang w:val="en-GB" w:eastAsia="ja-JP"/>
              </w:rPr>
            </w:pPr>
          </w:p>
        </w:tc>
      </w:tr>
    </w:tbl>
    <w:p w14:paraId="376653A5" w14:textId="77777777" w:rsidR="00AF61CE" w:rsidRDefault="00AF61CE" w:rsidP="008704D3">
      <w:pPr>
        <w:rPr>
          <w:b/>
          <w:bCs/>
          <w:lang w:val="en-GB" w:eastAsia="ja-JP"/>
        </w:rPr>
      </w:pPr>
    </w:p>
    <w:p w14:paraId="7AD38D90" w14:textId="67C4CC16" w:rsidR="00A80730" w:rsidRDefault="00A80730" w:rsidP="00A80730">
      <w:pPr>
        <w:pStyle w:val="Heading2"/>
      </w:pPr>
      <w:r w:rsidRPr="00AF61CE">
        <w:lastRenderedPageBreak/>
        <w:t>Q8</w:t>
      </w:r>
      <w:r>
        <w:t>-2</w:t>
      </w:r>
      <w:r w:rsidRPr="00AF61CE">
        <w:t>.</w:t>
      </w:r>
      <w:r>
        <w:tab/>
      </w:r>
      <w:r w:rsidRPr="00A80730">
        <w:t>Any issue related to this AI and the LS from RAN2 in R1-2003256.</w:t>
      </w:r>
    </w:p>
    <w:p w14:paraId="23CFED69" w14:textId="77777777" w:rsidR="00A80730" w:rsidRDefault="00A80730" w:rsidP="008704D3">
      <w:pPr>
        <w:rPr>
          <w:b/>
          <w:bCs/>
          <w:lang w:val="en-GB" w:eastAsia="ja-JP"/>
        </w:rPr>
      </w:pPr>
    </w:p>
    <w:p w14:paraId="58F6C543" w14:textId="09B29A23" w:rsidR="006709C8" w:rsidRDefault="008704D3" w:rsidP="00B850CE">
      <w:pPr>
        <w:jc w:val="both"/>
        <w:rPr>
          <w:b/>
          <w:bCs/>
          <w:lang w:val="en-GB" w:eastAsia="ja-JP"/>
        </w:rPr>
      </w:pPr>
      <w:r w:rsidRPr="00AF61CE">
        <w:rPr>
          <w:b/>
          <w:bCs/>
          <w:lang w:val="en-GB" w:eastAsia="ja-JP"/>
        </w:rPr>
        <w:t>Regarding the second action in the LS from RAN2 in R1-2003256</w:t>
      </w:r>
      <w:r w:rsidR="006709C8">
        <w:rPr>
          <w:b/>
          <w:bCs/>
          <w:lang w:val="en-GB" w:eastAsia="ja-JP"/>
        </w:rPr>
        <w:t>, do you have any concern with the working assumption?</w:t>
      </w:r>
    </w:p>
    <w:tbl>
      <w:tblPr>
        <w:tblStyle w:val="TableGrid"/>
        <w:tblW w:w="9634" w:type="dxa"/>
        <w:tblLook w:val="04A0" w:firstRow="1" w:lastRow="0" w:firstColumn="1" w:lastColumn="0" w:noHBand="0" w:noVBand="1"/>
      </w:tblPr>
      <w:tblGrid>
        <w:gridCol w:w="1189"/>
        <w:gridCol w:w="8445"/>
      </w:tblGrid>
      <w:tr w:rsidR="005A3B37" w14:paraId="0C7EE839" w14:textId="77777777" w:rsidTr="00975003">
        <w:tc>
          <w:tcPr>
            <w:tcW w:w="1189" w:type="dxa"/>
            <w:shd w:val="clear" w:color="auto" w:fill="E7E6E6" w:themeFill="background2"/>
          </w:tcPr>
          <w:p w14:paraId="780D4907" w14:textId="77777777" w:rsidR="005A3B37" w:rsidRPr="00D04EC5" w:rsidRDefault="005A3B37" w:rsidP="00975003">
            <w:pPr>
              <w:jc w:val="center"/>
              <w:rPr>
                <w:b/>
                <w:bCs/>
                <w:lang w:val="en-GB" w:eastAsia="ja-JP"/>
              </w:rPr>
            </w:pPr>
            <w:r w:rsidRPr="00D04EC5">
              <w:rPr>
                <w:b/>
                <w:bCs/>
                <w:lang w:val="en-GB" w:eastAsia="ja-JP"/>
              </w:rPr>
              <w:t>Company</w:t>
            </w:r>
          </w:p>
        </w:tc>
        <w:tc>
          <w:tcPr>
            <w:tcW w:w="8445" w:type="dxa"/>
            <w:shd w:val="clear" w:color="auto" w:fill="E7E6E6" w:themeFill="background2"/>
          </w:tcPr>
          <w:p w14:paraId="30B78BE7" w14:textId="77777777" w:rsidR="005A3B37" w:rsidRPr="00D04EC5" w:rsidRDefault="005A3B37" w:rsidP="00975003">
            <w:pPr>
              <w:jc w:val="center"/>
              <w:rPr>
                <w:b/>
                <w:bCs/>
                <w:lang w:val="en-GB" w:eastAsia="ja-JP"/>
              </w:rPr>
            </w:pPr>
            <w:r w:rsidRPr="00D04EC5">
              <w:rPr>
                <w:b/>
                <w:bCs/>
                <w:lang w:val="en-GB" w:eastAsia="ja-JP"/>
              </w:rPr>
              <w:t>Views</w:t>
            </w:r>
          </w:p>
        </w:tc>
      </w:tr>
      <w:tr w:rsidR="005A3B37" w14:paraId="3F80D621" w14:textId="77777777" w:rsidTr="00975003">
        <w:tc>
          <w:tcPr>
            <w:tcW w:w="1189" w:type="dxa"/>
          </w:tcPr>
          <w:p w14:paraId="7B9F9B3C" w14:textId="69324E6A" w:rsidR="005A3B37" w:rsidRDefault="0077388C" w:rsidP="00975003">
            <w:pPr>
              <w:rPr>
                <w:lang w:val="en-GB" w:eastAsia="ja-JP"/>
              </w:rPr>
            </w:pPr>
            <w:r>
              <w:rPr>
                <w:lang w:val="en-GB" w:eastAsia="ja-JP"/>
              </w:rPr>
              <w:t>Ericsson</w:t>
            </w:r>
          </w:p>
        </w:tc>
        <w:tc>
          <w:tcPr>
            <w:tcW w:w="8445" w:type="dxa"/>
          </w:tcPr>
          <w:p w14:paraId="35134668" w14:textId="394EF8FF" w:rsidR="005A3B37" w:rsidRDefault="0077388C" w:rsidP="0077388C">
            <w:pPr>
              <w:rPr>
                <w:lang w:val="en-GB" w:eastAsia="ja-JP"/>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1513736F" w14:textId="77777777" w:rsidTr="00975003">
        <w:tc>
          <w:tcPr>
            <w:tcW w:w="1189" w:type="dxa"/>
          </w:tcPr>
          <w:p w14:paraId="4CA37B5E" w14:textId="7E4B7EC8" w:rsidR="005A3B37" w:rsidRDefault="00F332A9" w:rsidP="00975003">
            <w:pPr>
              <w:rPr>
                <w:lang w:val="en-GB" w:eastAsia="ja-JP"/>
              </w:rPr>
            </w:pPr>
            <w:r>
              <w:rPr>
                <w:lang w:val="en-GB" w:eastAsia="ja-JP"/>
              </w:rPr>
              <w:t>Intel</w:t>
            </w:r>
          </w:p>
        </w:tc>
        <w:tc>
          <w:tcPr>
            <w:tcW w:w="8445" w:type="dxa"/>
          </w:tcPr>
          <w:p w14:paraId="36C094A6" w14:textId="79079DB7" w:rsidR="005A3B37" w:rsidRDefault="00F332A9" w:rsidP="00975003">
            <w:pPr>
              <w:rPr>
                <w:lang w:val="en-GB" w:eastAsia="ja-JP"/>
              </w:rPr>
            </w:pPr>
            <w:r>
              <w:rPr>
                <w:lang w:val="en-GB" w:eastAsia="ja-JP"/>
              </w:rPr>
              <w:t>Agree with Ericsson</w:t>
            </w:r>
          </w:p>
        </w:tc>
      </w:tr>
      <w:tr w:rsidR="005A3B37" w14:paraId="56F9CD53" w14:textId="77777777" w:rsidTr="00975003">
        <w:tc>
          <w:tcPr>
            <w:tcW w:w="1189" w:type="dxa"/>
          </w:tcPr>
          <w:p w14:paraId="2640159C" w14:textId="77777777" w:rsidR="005A3B37" w:rsidRDefault="005A3B37" w:rsidP="00975003">
            <w:pPr>
              <w:rPr>
                <w:lang w:val="en-GB" w:eastAsia="ja-JP"/>
              </w:rPr>
            </w:pPr>
          </w:p>
        </w:tc>
        <w:tc>
          <w:tcPr>
            <w:tcW w:w="8445" w:type="dxa"/>
          </w:tcPr>
          <w:p w14:paraId="0389C290" w14:textId="77777777" w:rsidR="005A3B37" w:rsidRDefault="005A3B37" w:rsidP="00975003">
            <w:pPr>
              <w:rPr>
                <w:lang w:val="en-GB" w:eastAsia="ja-JP"/>
              </w:rPr>
            </w:pPr>
          </w:p>
        </w:tc>
      </w:tr>
      <w:tr w:rsidR="005A3B37" w14:paraId="55DA13C5" w14:textId="77777777" w:rsidTr="00975003">
        <w:tc>
          <w:tcPr>
            <w:tcW w:w="1189" w:type="dxa"/>
          </w:tcPr>
          <w:p w14:paraId="4846E023" w14:textId="77777777" w:rsidR="005A3B37" w:rsidRDefault="005A3B37" w:rsidP="00975003">
            <w:pPr>
              <w:rPr>
                <w:lang w:val="en-GB" w:eastAsia="ja-JP"/>
              </w:rPr>
            </w:pPr>
          </w:p>
        </w:tc>
        <w:tc>
          <w:tcPr>
            <w:tcW w:w="8445" w:type="dxa"/>
          </w:tcPr>
          <w:p w14:paraId="621189A3" w14:textId="77777777" w:rsidR="005A3B37" w:rsidRDefault="005A3B37" w:rsidP="00975003">
            <w:pPr>
              <w:rPr>
                <w:lang w:val="en-GB" w:eastAsia="ja-JP"/>
              </w:rPr>
            </w:pPr>
          </w:p>
        </w:tc>
      </w:tr>
    </w:tbl>
    <w:p w14:paraId="65969945" w14:textId="5C491B3E" w:rsidR="008704D3" w:rsidRPr="006709C8" w:rsidRDefault="008704D3" w:rsidP="006709C8">
      <w:pPr>
        <w:rPr>
          <w:b/>
          <w:bCs/>
          <w:lang w:val="en-GB" w:eastAsia="ja-JP"/>
        </w:rPr>
      </w:pPr>
    </w:p>
    <w:p w14:paraId="249B3251" w14:textId="666D46DA" w:rsidR="00A80730" w:rsidRDefault="00A80730" w:rsidP="00A80730">
      <w:pPr>
        <w:pStyle w:val="Heading2"/>
      </w:pPr>
      <w:r w:rsidRPr="00AF61CE">
        <w:t>Q8</w:t>
      </w:r>
      <w:r>
        <w:t>-3</w:t>
      </w:r>
      <w:r w:rsidRPr="00AF61CE">
        <w:t>.</w:t>
      </w:r>
      <w:r>
        <w:tab/>
      </w:r>
      <w:r w:rsidRPr="00A80730">
        <w:t>Any issue related to this AI and the LS from RAN2 in R1-2003256.</w:t>
      </w:r>
    </w:p>
    <w:p w14:paraId="1A5BBA29" w14:textId="67C70BC8" w:rsidR="00DA6D64" w:rsidRDefault="00DA6D64" w:rsidP="00B850CE">
      <w:pPr>
        <w:jc w:val="both"/>
        <w:rPr>
          <w:b/>
          <w:bCs/>
          <w:lang w:val="en-GB" w:eastAsia="ja-JP"/>
        </w:rPr>
      </w:pPr>
      <w:r w:rsidRPr="00AF61CE">
        <w:rPr>
          <w:b/>
          <w:bCs/>
          <w:lang w:val="en-GB" w:eastAsia="ja-JP"/>
        </w:rPr>
        <w:t xml:space="preserve">Regarding the </w:t>
      </w:r>
      <w:r>
        <w:rPr>
          <w:b/>
          <w:bCs/>
          <w:lang w:val="en-GB" w:eastAsia="ja-JP"/>
        </w:rPr>
        <w:t>third</w:t>
      </w:r>
      <w:r w:rsidRPr="00AF61CE">
        <w:rPr>
          <w:b/>
          <w:bCs/>
          <w:lang w:val="en-GB" w:eastAsia="ja-JP"/>
        </w:rPr>
        <w:t xml:space="preserve"> action in the LS from RAN2 in R1-2003256</w:t>
      </w:r>
      <w:r>
        <w:rPr>
          <w:b/>
          <w:bCs/>
          <w:lang w:val="en-GB" w:eastAsia="ja-JP"/>
        </w:rPr>
        <w:t xml:space="preserve">, do you </w:t>
      </w:r>
      <w:r w:rsidR="00B431DC">
        <w:rPr>
          <w:b/>
          <w:bCs/>
          <w:lang w:val="en-GB" w:eastAsia="ja-JP"/>
        </w:rPr>
        <w:t>think that feedback should be conveyed to RAN2</w:t>
      </w:r>
      <w:r>
        <w:rPr>
          <w:b/>
          <w:bCs/>
          <w:lang w:val="en-GB" w:eastAsia="ja-JP"/>
        </w:rPr>
        <w:t>?</w:t>
      </w:r>
      <w:r w:rsidR="00B431DC">
        <w:rPr>
          <w:b/>
          <w:bCs/>
          <w:lang w:val="en-GB" w:eastAsia="ja-JP"/>
        </w:rPr>
        <w:t xml:space="preserve"> If so, what feedback?</w:t>
      </w:r>
    </w:p>
    <w:tbl>
      <w:tblPr>
        <w:tblStyle w:val="TableGrid"/>
        <w:tblW w:w="9634" w:type="dxa"/>
        <w:tblLook w:val="04A0" w:firstRow="1" w:lastRow="0" w:firstColumn="1" w:lastColumn="0" w:noHBand="0" w:noVBand="1"/>
      </w:tblPr>
      <w:tblGrid>
        <w:gridCol w:w="1189"/>
        <w:gridCol w:w="8445"/>
      </w:tblGrid>
      <w:tr w:rsidR="005A3B37" w14:paraId="1CEADA42" w14:textId="77777777" w:rsidTr="00975003">
        <w:tc>
          <w:tcPr>
            <w:tcW w:w="1189" w:type="dxa"/>
            <w:shd w:val="clear" w:color="auto" w:fill="E7E6E6" w:themeFill="background2"/>
          </w:tcPr>
          <w:p w14:paraId="7D7E41C9" w14:textId="77777777" w:rsidR="005A3B37" w:rsidRPr="00D04EC5" w:rsidRDefault="005A3B37" w:rsidP="00975003">
            <w:pPr>
              <w:jc w:val="center"/>
              <w:rPr>
                <w:b/>
                <w:bCs/>
                <w:lang w:val="en-GB" w:eastAsia="ja-JP"/>
              </w:rPr>
            </w:pPr>
            <w:r w:rsidRPr="00D04EC5">
              <w:rPr>
                <w:b/>
                <w:bCs/>
                <w:lang w:val="en-GB" w:eastAsia="ja-JP"/>
              </w:rPr>
              <w:t>Company</w:t>
            </w:r>
          </w:p>
        </w:tc>
        <w:tc>
          <w:tcPr>
            <w:tcW w:w="8445" w:type="dxa"/>
            <w:shd w:val="clear" w:color="auto" w:fill="E7E6E6" w:themeFill="background2"/>
          </w:tcPr>
          <w:p w14:paraId="6FAEB88D" w14:textId="77777777" w:rsidR="005A3B37" w:rsidRPr="00D04EC5" w:rsidRDefault="005A3B37" w:rsidP="00975003">
            <w:pPr>
              <w:jc w:val="center"/>
              <w:rPr>
                <w:b/>
                <w:bCs/>
                <w:lang w:val="en-GB" w:eastAsia="ja-JP"/>
              </w:rPr>
            </w:pPr>
            <w:r w:rsidRPr="00D04EC5">
              <w:rPr>
                <w:b/>
                <w:bCs/>
                <w:lang w:val="en-GB" w:eastAsia="ja-JP"/>
              </w:rPr>
              <w:t>Views</w:t>
            </w:r>
          </w:p>
        </w:tc>
      </w:tr>
      <w:tr w:rsidR="005A3B37" w14:paraId="3CBC586B" w14:textId="77777777" w:rsidTr="00975003">
        <w:tc>
          <w:tcPr>
            <w:tcW w:w="1189" w:type="dxa"/>
          </w:tcPr>
          <w:p w14:paraId="78C3D224" w14:textId="6363BEA3" w:rsidR="005A3B37" w:rsidRDefault="0077388C" w:rsidP="00975003">
            <w:pPr>
              <w:rPr>
                <w:lang w:val="en-GB" w:eastAsia="ja-JP"/>
              </w:rPr>
            </w:pPr>
            <w:r>
              <w:rPr>
                <w:lang w:val="en-GB" w:eastAsia="ja-JP"/>
              </w:rPr>
              <w:t>Ericsson</w:t>
            </w:r>
          </w:p>
        </w:tc>
        <w:tc>
          <w:tcPr>
            <w:tcW w:w="8445" w:type="dxa"/>
          </w:tcPr>
          <w:p w14:paraId="0B61A9D0" w14:textId="534D72C7" w:rsidR="005A3B37" w:rsidRDefault="0077388C" w:rsidP="00975003">
            <w:pPr>
              <w:rPr>
                <w:lang w:val="en-GB" w:eastAsia="ja-JP"/>
              </w:rPr>
            </w:pPr>
            <w:r>
              <w:rPr>
                <w:lang w:val="en-GB" w:eastAsia="ja-JP"/>
              </w:rPr>
              <w:t>No need for feedback</w:t>
            </w:r>
          </w:p>
        </w:tc>
      </w:tr>
      <w:tr w:rsidR="005A3B37" w14:paraId="285596F3" w14:textId="77777777" w:rsidTr="00975003">
        <w:tc>
          <w:tcPr>
            <w:tcW w:w="1189" w:type="dxa"/>
          </w:tcPr>
          <w:p w14:paraId="2098E221" w14:textId="10687F16" w:rsidR="005A3B37" w:rsidRDefault="00F332A9" w:rsidP="00975003">
            <w:pPr>
              <w:rPr>
                <w:lang w:val="en-GB" w:eastAsia="ja-JP"/>
              </w:rPr>
            </w:pPr>
            <w:r>
              <w:rPr>
                <w:lang w:val="en-GB" w:eastAsia="ja-JP"/>
              </w:rPr>
              <w:t>Intel</w:t>
            </w:r>
          </w:p>
        </w:tc>
        <w:tc>
          <w:tcPr>
            <w:tcW w:w="8445" w:type="dxa"/>
          </w:tcPr>
          <w:p w14:paraId="2427DCFD" w14:textId="4219EDB6" w:rsidR="005A3B37" w:rsidRDefault="00F332A9" w:rsidP="00975003">
            <w:pPr>
              <w:rPr>
                <w:lang w:val="en-GB" w:eastAsia="ja-JP"/>
              </w:rPr>
            </w:pPr>
            <w:r>
              <w:rPr>
                <w:lang w:val="en-GB" w:eastAsia="ja-JP"/>
              </w:rPr>
              <w:t>No need for feedback</w:t>
            </w:r>
          </w:p>
        </w:tc>
      </w:tr>
      <w:tr w:rsidR="005A3B37" w14:paraId="28BBF763" w14:textId="77777777" w:rsidTr="00975003">
        <w:tc>
          <w:tcPr>
            <w:tcW w:w="1189" w:type="dxa"/>
          </w:tcPr>
          <w:p w14:paraId="768CB53A" w14:textId="77777777" w:rsidR="005A3B37" w:rsidRDefault="005A3B37" w:rsidP="00975003">
            <w:pPr>
              <w:rPr>
                <w:lang w:val="en-GB" w:eastAsia="ja-JP"/>
              </w:rPr>
            </w:pPr>
          </w:p>
        </w:tc>
        <w:tc>
          <w:tcPr>
            <w:tcW w:w="8445" w:type="dxa"/>
          </w:tcPr>
          <w:p w14:paraId="0F1160D1" w14:textId="77777777" w:rsidR="005A3B37" w:rsidRDefault="005A3B37" w:rsidP="00975003">
            <w:pPr>
              <w:rPr>
                <w:lang w:val="en-GB" w:eastAsia="ja-JP"/>
              </w:rPr>
            </w:pPr>
          </w:p>
        </w:tc>
      </w:tr>
      <w:tr w:rsidR="005A3B37" w14:paraId="6C815F46" w14:textId="77777777" w:rsidTr="00975003">
        <w:tc>
          <w:tcPr>
            <w:tcW w:w="1189" w:type="dxa"/>
          </w:tcPr>
          <w:p w14:paraId="4E0E530D" w14:textId="77777777" w:rsidR="005A3B37" w:rsidRDefault="005A3B37" w:rsidP="00975003">
            <w:pPr>
              <w:rPr>
                <w:lang w:val="en-GB" w:eastAsia="ja-JP"/>
              </w:rPr>
            </w:pPr>
          </w:p>
        </w:tc>
        <w:tc>
          <w:tcPr>
            <w:tcW w:w="8445" w:type="dxa"/>
          </w:tcPr>
          <w:p w14:paraId="1694FB82" w14:textId="77777777" w:rsidR="005A3B37" w:rsidRDefault="005A3B37" w:rsidP="00975003">
            <w:pPr>
              <w:rPr>
                <w:lang w:val="en-GB" w:eastAsia="ja-JP"/>
              </w:rPr>
            </w:pPr>
          </w:p>
        </w:tc>
      </w:tr>
    </w:tbl>
    <w:p w14:paraId="4D90AB4B" w14:textId="4A4F0722" w:rsidR="008704D3" w:rsidRDefault="008704D3" w:rsidP="00D04EC5">
      <w:pPr>
        <w:rPr>
          <w:lang w:val="en-GB" w:eastAsia="ja-JP"/>
        </w:rPr>
      </w:pPr>
    </w:p>
    <w:p w14:paraId="056E9EF3" w14:textId="14727106"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189"/>
        <w:gridCol w:w="8445"/>
      </w:tblGrid>
      <w:tr w:rsidR="005A3B37" w14:paraId="6653A552" w14:textId="77777777" w:rsidTr="00975003">
        <w:tc>
          <w:tcPr>
            <w:tcW w:w="1189" w:type="dxa"/>
            <w:shd w:val="clear" w:color="auto" w:fill="E7E6E6" w:themeFill="background2"/>
          </w:tcPr>
          <w:p w14:paraId="242F01A5" w14:textId="77777777" w:rsidR="005A3B37" w:rsidRPr="00D04EC5" w:rsidRDefault="005A3B37" w:rsidP="00975003">
            <w:pPr>
              <w:jc w:val="center"/>
              <w:rPr>
                <w:b/>
                <w:bCs/>
                <w:lang w:val="en-GB" w:eastAsia="ja-JP"/>
              </w:rPr>
            </w:pPr>
            <w:r w:rsidRPr="00D04EC5">
              <w:rPr>
                <w:b/>
                <w:bCs/>
                <w:lang w:val="en-GB" w:eastAsia="ja-JP"/>
              </w:rPr>
              <w:t>Company</w:t>
            </w:r>
          </w:p>
        </w:tc>
        <w:tc>
          <w:tcPr>
            <w:tcW w:w="8445" w:type="dxa"/>
            <w:shd w:val="clear" w:color="auto" w:fill="E7E6E6" w:themeFill="background2"/>
          </w:tcPr>
          <w:p w14:paraId="3A5EEA6A" w14:textId="77777777" w:rsidR="005A3B37" w:rsidRPr="00D04EC5" w:rsidRDefault="005A3B37" w:rsidP="00975003">
            <w:pPr>
              <w:jc w:val="center"/>
              <w:rPr>
                <w:b/>
                <w:bCs/>
                <w:lang w:val="en-GB" w:eastAsia="ja-JP"/>
              </w:rPr>
            </w:pPr>
            <w:r w:rsidRPr="00D04EC5">
              <w:rPr>
                <w:b/>
                <w:bCs/>
                <w:lang w:val="en-GB" w:eastAsia="ja-JP"/>
              </w:rPr>
              <w:t>Views</w:t>
            </w:r>
          </w:p>
        </w:tc>
      </w:tr>
      <w:tr w:rsidR="005A3B37" w14:paraId="044FD79E" w14:textId="77777777" w:rsidTr="00975003">
        <w:tc>
          <w:tcPr>
            <w:tcW w:w="1189" w:type="dxa"/>
          </w:tcPr>
          <w:p w14:paraId="31FA1933" w14:textId="77777777" w:rsidR="005A3B37" w:rsidRDefault="005A3B37" w:rsidP="00975003">
            <w:pPr>
              <w:rPr>
                <w:lang w:val="en-GB" w:eastAsia="ja-JP"/>
              </w:rPr>
            </w:pPr>
          </w:p>
        </w:tc>
        <w:tc>
          <w:tcPr>
            <w:tcW w:w="8445" w:type="dxa"/>
          </w:tcPr>
          <w:p w14:paraId="62A58E45" w14:textId="77777777" w:rsidR="005A3B37" w:rsidRDefault="005A3B37" w:rsidP="00975003">
            <w:pPr>
              <w:rPr>
                <w:lang w:val="en-GB" w:eastAsia="ja-JP"/>
              </w:rPr>
            </w:pPr>
          </w:p>
        </w:tc>
      </w:tr>
      <w:tr w:rsidR="005A3B37" w14:paraId="6FD33B59" w14:textId="77777777" w:rsidTr="00975003">
        <w:tc>
          <w:tcPr>
            <w:tcW w:w="1189" w:type="dxa"/>
          </w:tcPr>
          <w:p w14:paraId="060F871E" w14:textId="77777777" w:rsidR="005A3B37" w:rsidRDefault="005A3B37" w:rsidP="00975003">
            <w:pPr>
              <w:rPr>
                <w:lang w:val="en-GB" w:eastAsia="ja-JP"/>
              </w:rPr>
            </w:pPr>
          </w:p>
        </w:tc>
        <w:tc>
          <w:tcPr>
            <w:tcW w:w="8445" w:type="dxa"/>
          </w:tcPr>
          <w:p w14:paraId="1CBF3EA7" w14:textId="77777777" w:rsidR="005A3B37" w:rsidRDefault="005A3B37" w:rsidP="00975003">
            <w:pPr>
              <w:rPr>
                <w:lang w:val="en-GB" w:eastAsia="ja-JP"/>
              </w:rPr>
            </w:pPr>
          </w:p>
        </w:tc>
      </w:tr>
      <w:tr w:rsidR="005A3B37" w14:paraId="56DB1716" w14:textId="77777777" w:rsidTr="00975003">
        <w:tc>
          <w:tcPr>
            <w:tcW w:w="1189" w:type="dxa"/>
          </w:tcPr>
          <w:p w14:paraId="1598A565" w14:textId="77777777" w:rsidR="005A3B37" w:rsidRDefault="005A3B37" w:rsidP="00975003">
            <w:pPr>
              <w:rPr>
                <w:lang w:val="en-GB" w:eastAsia="ja-JP"/>
              </w:rPr>
            </w:pPr>
          </w:p>
        </w:tc>
        <w:tc>
          <w:tcPr>
            <w:tcW w:w="8445" w:type="dxa"/>
          </w:tcPr>
          <w:p w14:paraId="1C0DC213" w14:textId="77777777" w:rsidR="005A3B37" w:rsidRDefault="005A3B37" w:rsidP="00975003">
            <w:pPr>
              <w:rPr>
                <w:lang w:val="en-GB" w:eastAsia="ja-JP"/>
              </w:rPr>
            </w:pPr>
          </w:p>
        </w:tc>
      </w:tr>
      <w:tr w:rsidR="005A3B37" w14:paraId="52DD00B6" w14:textId="77777777" w:rsidTr="00975003">
        <w:tc>
          <w:tcPr>
            <w:tcW w:w="1189" w:type="dxa"/>
          </w:tcPr>
          <w:p w14:paraId="2E118C12" w14:textId="77777777" w:rsidR="005A3B37" w:rsidRDefault="005A3B37" w:rsidP="00975003">
            <w:pPr>
              <w:rPr>
                <w:lang w:val="en-GB" w:eastAsia="ja-JP"/>
              </w:rPr>
            </w:pPr>
          </w:p>
        </w:tc>
        <w:tc>
          <w:tcPr>
            <w:tcW w:w="8445" w:type="dxa"/>
          </w:tcPr>
          <w:p w14:paraId="723769A6" w14:textId="77777777" w:rsidR="005A3B37" w:rsidRDefault="005A3B37" w:rsidP="00975003">
            <w:pPr>
              <w:rPr>
                <w:lang w:val="en-GB" w:eastAsia="ja-JP"/>
              </w:rPr>
            </w:pPr>
          </w:p>
        </w:tc>
      </w:tr>
    </w:tbl>
    <w:p w14:paraId="54D18881" w14:textId="77777777" w:rsidR="007D6EFB" w:rsidRDefault="007D6EFB" w:rsidP="00D04EC5">
      <w:pPr>
        <w:rPr>
          <w:lang w:val="en-GB" w:eastAsia="ja-JP"/>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C69AB" w14:textId="77777777" w:rsidR="00AA298A" w:rsidRDefault="00AA298A">
      <w:r>
        <w:separator/>
      </w:r>
    </w:p>
  </w:endnote>
  <w:endnote w:type="continuationSeparator" w:id="0">
    <w:p w14:paraId="1429536B" w14:textId="77777777" w:rsidR="00AA298A" w:rsidRDefault="00AA298A">
      <w:r>
        <w:continuationSeparator/>
      </w:r>
    </w:p>
  </w:endnote>
  <w:endnote w:type="continuationNotice" w:id="1">
    <w:p w14:paraId="7F9E174C" w14:textId="77777777" w:rsidR="00AA298A" w:rsidRDefault="00AA2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7DECC" w14:textId="77777777" w:rsidR="00AA298A" w:rsidRDefault="00AA298A">
      <w:r>
        <w:separator/>
      </w:r>
    </w:p>
  </w:footnote>
  <w:footnote w:type="continuationSeparator" w:id="0">
    <w:p w14:paraId="1C1C9EDD" w14:textId="77777777" w:rsidR="00AA298A" w:rsidRDefault="00AA298A">
      <w:r>
        <w:continuationSeparator/>
      </w:r>
    </w:p>
  </w:footnote>
  <w:footnote w:type="continuationNotice" w:id="1">
    <w:p w14:paraId="6073DD29" w14:textId="77777777" w:rsidR="00AA298A" w:rsidRDefault="00AA29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6"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8"/>
  </w:num>
  <w:num w:numId="3">
    <w:abstractNumId w:val="0"/>
  </w:num>
  <w:num w:numId="4">
    <w:abstractNumId w:val="27"/>
  </w:num>
  <w:num w:numId="5">
    <w:abstractNumId w:val="29"/>
  </w:num>
  <w:num w:numId="6">
    <w:abstractNumId w:val="32"/>
  </w:num>
  <w:num w:numId="7">
    <w:abstractNumId w:val="7"/>
  </w:num>
  <w:num w:numId="8">
    <w:abstractNumId w:val="9"/>
  </w:num>
  <w:num w:numId="9">
    <w:abstractNumId w:val="3"/>
  </w:num>
  <w:num w:numId="10">
    <w:abstractNumId w:val="41"/>
  </w:num>
  <w:num w:numId="11">
    <w:abstractNumId w:val="14"/>
  </w:num>
  <w:num w:numId="12">
    <w:abstractNumId w:val="39"/>
  </w:num>
  <w:num w:numId="13">
    <w:abstractNumId w:val="11"/>
  </w:num>
  <w:num w:numId="14">
    <w:abstractNumId w:val="33"/>
  </w:num>
  <w:num w:numId="15">
    <w:abstractNumId w:val="15"/>
  </w:num>
  <w:num w:numId="16">
    <w:abstractNumId w:val="22"/>
  </w:num>
  <w:num w:numId="17">
    <w:abstractNumId w:val="10"/>
  </w:num>
  <w:num w:numId="18">
    <w:abstractNumId w:val="6"/>
  </w:num>
  <w:num w:numId="19">
    <w:abstractNumId w:val="5"/>
  </w:num>
  <w:num w:numId="20">
    <w:abstractNumId w:val="8"/>
  </w:num>
  <w:num w:numId="21">
    <w:abstractNumId w:val="1"/>
  </w:num>
  <w:num w:numId="22">
    <w:abstractNumId w:val="36"/>
  </w:num>
  <w:num w:numId="23">
    <w:abstractNumId w:val="16"/>
  </w:num>
  <w:num w:numId="24">
    <w:abstractNumId w:val="3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0"/>
  </w:num>
  <w:num w:numId="28">
    <w:abstractNumId w:val="26"/>
  </w:num>
  <w:num w:numId="29">
    <w:abstractNumId w:val="38"/>
  </w:num>
  <w:num w:numId="30">
    <w:abstractNumId w:val="30"/>
  </w:num>
  <w:num w:numId="31">
    <w:abstractNumId w:val="42"/>
  </w:num>
  <w:num w:numId="32">
    <w:abstractNumId w:val="23"/>
  </w:num>
  <w:num w:numId="33">
    <w:abstractNumId w:val="4"/>
  </w:num>
  <w:num w:numId="34">
    <w:abstractNumId w:val="2"/>
  </w:num>
  <w:num w:numId="35">
    <w:abstractNumId w:val="21"/>
  </w:num>
  <w:num w:numId="36">
    <w:abstractNumId w:val="28"/>
  </w:num>
  <w:num w:numId="37">
    <w:abstractNumId w:val="12"/>
  </w:num>
  <w:num w:numId="38">
    <w:abstractNumId w:val="35"/>
  </w:num>
  <w:num w:numId="39">
    <w:abstractNumId w:val="25"/>
  </w:num>
  <w:num w:numId="40">
    <w:abstractNumId w:val="37"/>
  </w:num>
  <w:num w:numId="41">
    <w:abstractNumId w:val="13"/>
  </w:num>
  <w:num w:numId="42">
    <w:abstractNumId w:val="31"/>
  </w:num>
  <w:num w:numId="4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32A9"/>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73D3"/>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D73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73D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表段落,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7B43F2"/>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7B43F2"/>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1496</Words>
  <Characters>7352</Characters>
  <Application>Microsoft Office Word</Application>
  <DocSecurity>0</DocSecurity>
  <Lines>257</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8740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2020-05-25T15:50:00Z</dcterms:created>
  <dcterms:modified xsi:type="dcterms:W3CDTF">2020-05-25T16:04:00Z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